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52" w:rsidRPr="00DA6261" w:rsidRDefault="001D0752" w:rsidP="001D0752">
      <w:pPr>
        <w:jc w:val="center"/>
        <w:rPr>
          <w:lang w:eastAsia="ru-RU"/>
        </w:rPr>
      </w:pPr>
      <w:r w:rsidRPr="00DA6261">
        <w:rPr>
          <w:lang w:eastAsia="ru-RU"/>
        </w:rPr>
        <w:t>МІНІСТЕРСТВО ОСВІТИ І НАУКИ УКРАЇНИ</w:t>
      </w:r>
    </w:p>
    <w:p w:rsidR="001D0752" w:rsidRPr="00DA6261" w:rsidRDefault="001D0752" w:rsidP="001D0752">
      <w:pPr>
        <w:spacing w:line="1" w:lineRule="exact"/>
        <w:rPr>
          <w:lang w:eastAsia="ru-RU"/>
        </w:rPr>
      </w:pPr>
    </w:p>
    <w:p w:rsidR="001D0752" w:rsidRPr="00DA6261" w:rsidRDefault="001D0752" w:rsidP="001D0752">
      <w:pPr>
        <w:jc w:val="center"/>
        <w:rPr>
          <w:lang w:eastAsia="ru-RU"/>
        </w:rPr>
      </w:pPr>
      <w:r w:rsidRPr="00DA6261">
        <w:rPr>
          <w:lang w:eastAsia="ru-RU"/>
        </w:rPr>
        <w:t>КИЇВСЬКИЙ НАЦІОНАЛЬНИЙ УНІВЕРСИТЕТ ТЕХНОЛОГІЙ ТА ДИЗАЙНУ</w:t>
      </w:r>
    </w:p>
    <w:p w:rsidR="001D0752" w:rsidRPr="00DA6261" w:rsidRDefault="001D0752" w:rsidP="001D0752">
      <w:pPr>
        <w:pStyle w:val="a7"/>
        <w:spacing w:line="360" w:lineRule="auto"/>
        <w:rPr>
          <w:lang w:val="uk-UA"/>
        </w:rPr>
      </w:pPr>
      <w:r w:rsidRPr="00DA6261">
        <w:rPr>
          <w:lang w:val="uk-UA"/>
        </w:rPr>
        <w:t>Факультет хімічних та біофармацевтичних технологій</w:t>
      </w:r>
    </w:p>
    <w:p w:rsidR="001D0752" w:rsidRPr="00DA6261" w:rsidRDefault="001D0752" w:rsidP="001D0752">
      <w:pPr>
        <w:spacing w:line="360" w:lineRule="auto"/>
        <w:ind w:firstLine="709"/>
        <w:jc w:val="center"/>
      </w:pPr>
      <w:r w:rsidRPr="00DA6261">
        <w:t>Кафедра промислової фармації</w:t>
      </w:r>
    </w:p>
    <w:p w:rsidR="001D0752" w:rsidRPr="00DA6261" w:rsidRDefault="001D0752" w:rsidP="001D0752">
      <w:pPr>
        <w:spacing w:line="360" w:lineRule="auto"/>
        <w:ind w:firstLine="709"/>
        <w:jc w:val="center"/>
      </w:pPr>
    </w:p>
    <w:p w:rsidR="001D0752" w:rsidRPr="00DA6261" w:rsidRDefault="001D0752" w:rsidP="001D0752">
      <w:pPr>
        <w:spacing w:line="360" w:lineRule="auto"/>
        <w:ind w:firstLine="709"/>
        <w:jc w:val="center"/>
      </w:pPr>
    </w:p>
    <w:p w:rsidR="001D0752" w:rsidRPr="00DA6261" w:rsidRDefault="001D0752" w:rsidP="001D0752">
      <w:pPr>
        <w:spacing w:line="360" w:lineRule="auto"/>
        <w:ind w:firstLine="709"/>
        <w:jc w:val="center"/>
      </w:pPr>
    </w:p>
    <w:p w:rsidR="001D0752" w:rsidRPr="00DA6261" w:rsidRDefault="001D0752" w:rsidP="001D0752">
      <w:pPr>
        <w:spacing w:line="360" w:lineRule="auto"/>
        <w:ind w:firstLine="709"/>
        <w:jc w:val="center"/>
      </w:pPr>
    </w:p>
    <w:p w:rsidR="001D0752" w:rsidRPr="00DA6261" w:rsidRDefault="001D0752" w:rsidP="001D0752">
      <w:pPr>
        <w:jc w:val="center"/>
      </w:pPr>
      <w:r w:rsidRPr="00DA6261">
        <w:t>РЕФЕРАТ</w:t>
      </w:r>
    </w:p>
    <w:p w:rsidR="001D0752" w:rsidRPr="00DA6261" w:rsidRDefault="001D0752" w:rsidP="001D0752">
      <w:pPr>
        <w:jc w:val="center"/>
      </w:pPr>
      <w:r w:rsidRPr="00DA6261">
        <w:t>до дипломної магістерської роботи (</w:t>
      </w:r>
      <w:proofErr w:type="spellStart"/>
      <w:r w:rsidRPr="00DA6261">
        <w:t>проєкту</w:t>
      </w:r>
      <w:proofErr w:type="spellEnd"/>
      <w:r w:rsidRPr="00DA6261">
        <w:t>)</w:t>
      </w:r>
    </w:p>
    <w:p w:rsidR="001D0752" w:rsidRPr="00DA6261" w:rsidRDefault="001D0752" w:rsidP="001D0752">
      <w:pPr>
        <w:jc w:val="center"/>
        <w:rPr>
          <w:sz w:val="18"/>
          <w:szCs w:val="18"/>
          <w:lang w:eastAsia="ru-RU"/>
        </w:rPr>
      </w:pPr>
    </w:p>
    <w:p w:rsidR="001D0752" w:rsidRPr="00DA6261" w:rsidRDefault="001D0752" w:rsidP="001D0752">
      <w:pPr>
        <w:jc w:val="center"/>
        <w:rPr>
          <w:lang w:eastAsia="ru-RU"/>
        </w:rPr>
      </w:pPr>
      <w:r w:rsidRPr="00DA6261">
        <w:rPr>
          <w:lang w:eastAsia="ru-RU"/>
        </w:rPr>
        <w:t>на тему</w:t>
      </w:r>
    </w:p>
    <w:p w:rsidR="001D0752" w:rsidRPr="00077903" w:rsidRDefault="001D0752" w:rsidP="001D0752">
      <w:pPr>
        <w:pStyle w:val="a7"/>
        <w:spacing w:line="360" w:lineRule="auto"/>
      </w:pPr>
      <w:r w:rsidRPr="00077903">
        <w:t>на тему: «</w:t>
      </w:r>
      <w:r w:rsidRPr="00077903">
        <w:rPr>
          <w:color w:val="222222"/>
          <w:shd w:val="clear" w:color="auto" w:fill="FFFFFF"/>
        </w:rPr>
        <w:t>Фармако-</w:t>
      </w:r>
      <w:proofErr w:type="gramStart"/>
      <w:r w:rsidRPr="00077903">
        <w:rPr>
          <w:color w:val="222222"/>
          <w:shd w:val="clear" w:color="auto" w:fill="FFFFFF"/>
        </w:rPr>
        <w:t>технологічні  та</w:t>
      </w:r>
      <w:proofErr w:type="gramEnd"/>
      <w:r w:rsidRPr="00077903">
        <w:rPr>
          <w:color w:val="222222"/>
          <w:shd w:val="clear" w:color="auto" w:fill="FFFFFF"/>
        </w:rPr>
        <w:t xml:space="preserve"> </w:t>
      </w:r>
      <w:proofErr w:type="spellStart"/>
      <w:r w:rsidRPr="00077903">
        <w:rPr>
          <w:color w:val="222222"/>
          <w:shd w:val="clear" w:color="auto" w:fill="FFFFFF"/>
        </w:rPr>
        <w:t>аналітичні</w:t>
      </w:r>
      <w:proofErr w:type="spellEnd"/>
      <w:r w:rsidRPr="00077903">
        <w:rPr>
          <w:color w:val="222222"/>
          <w:shd w:val="clear" w:color="auto" w:fill="FFFFFF"/>
        </w:rPr>
        <w:t xml:space="preserve"> </w:t>
      </w:r>
      <w:proofErr w:type="spellStart"/>
      <w:r w:rsidRPr="00077903">
        <w:rPr>
          <w:color w:val="222222"/>
          <w:shd w:val="clear" w:color="auto" w:fill="FFFFFF"/>
        </w:rPr>
        <w:t>дослідження</w:t>
      </w:r>
      <w:proofErr w:type="spellEnd"/>
      <w:r w:rsidRPr="00077903">
        <w:rPr>
          <w:color w:val="222222"/>
          <w:shd w:val="clear" w:color="auto" w:fill="FFFFFF"/>
        </w:rPr>
        <w:t xml:space="preserve"> </w:t>
      </w:r>
      <w:proofErr w:type="spellStart"/>
      <w:r w:rsidRPr="00077903">
        <w:rPr>
          <w:color w:val="222222"/>
          <w:shd w:val="clear" w:color="auto" w:fill="FFFFFF"/>
        </w:rPr>
        <w:t>лікарського</w:t>
      </w:r>
      <w:proofErr w:type="spellEnd"/>
      <w:r w:rsidRPr="00077903">
        <w:rPr>
          <w:color w:val="222222"/>
          <w:shd w:val="clear" w:color="auto" w:fill="FFFFFF"/>
        </w:rPr>
        <w:t xml:space="preserve"> </w:t>
      </w:r>
      <w:proofErr w:type="spellStart"/>
      <w:r w:rsidRPr="00077903">
        <w:rPr>
          <w:color w:val="222222"/>
          <w:shd w:val="clear" w:color="auto" w:fill="FFFFFF"/>
        </w:rPr>
        <w:t>засобу</w:t>
      </w:r>
      <w:proofErr w:type="spellEnd"/>
      <w:r w:rsidRPr="00077903">
        <w:rPr>
          <w:color w:val="222222"/>
          <w:shd w:val="clear" w:color="auto" w:fill="FFFFFF"/>
        </w:rPr>
        <w:t xml:space="preserve"> у </w:t>
      </w:r>
      <w:proofErr w:type="spellStart"/>
      <w:r w:rsidRPr="00077903">
        <w:rPr>
          <w:color w:val="222222"/>
          <w:shd w:val="clear" w:color="auto" w:fill="FFFFFF"/>
        </w:rPr>
        <w:t>формі</w:t>
      </w:r>
      <w:proofErr w:type="spellEnd"/>
      <w:r w:rsidRPr="00077903">
        <w:rPr>
          <w:color w:val="222222"/>
          <w:shd w:val="clear" w:color="auto" w:fill="FFFFFF"/>
        </w:rPr>
        <w:t xml:space="preserve"> супозиторіїв</w:t>
      </w:r>
      <w:r w:rsidRPr="00077903">
        <w:t>»</w:t>
      </w:r>
    </w:p>
    <w:p w:rsidR="001D0752" w:rsidRPr="00077903" w:rsidRDefault="001D0752" w:rsidP="001D0752">
      <w:pPr>
        <w:pStyle w:val="a7"/>
        <w:spacing w:line="360" w:lineRule="auto"/>
      </w:pPr>
    </w:p>
    <w:p w:rsidR="001D0752" w:rsidRPr="00077903" w:rsidRDefault="001D0752" w:rsidP="001D0752">
      <w:pPr>
        <w:pStyle w:val="a7"/>
        <w:spacing w:line="360" w:lineRule="auto"/>
      </w:pPr>
    </w:p>
    <w:p w:rsidR="001D0752" w:rsidRPr="00077903" w:rsidRDefault="001D0752" w:rsidP="001D0752">
      <w:pPr>
        <w:pStyle w:val="a7"/>
        <w:spacing w:line="360" w:lineRule="auto"/>
      </w:pPr>
    </w:p>
    <w:p w:rsidR="001D0752" w:rsidRPr="00077903" w:rsidRDefault="001D0752" w:rsidP="001D0752">
      <w:pPr>
        <w:pStyle w:val="a7"/>
        <w:tabs>
          <w:tab w:val="left" w:pos="4536"/>
        </w:tabs>
        <w:spacing w:line="360" w:lineRule="auto"/>
        <w:ind w:left="4962"/>
        <w:jc w:val="left"/>
      </w:pPr>
      <w:proofErr w:type="spellStart"/>
      <w:r w:rsidRPr="00077903">
        <w:t>Виконала</w:t>
      </w:r>
      <w:proofErr w:type="spellEnd"/>
      <w:r w:rsidRPr="00077903">
        <w:t xml:space="preserve"> студентка ІІ курсу, </w:t>
      </w:r>
    </w:p>
    <w:p w:rsidR="001D0752" w:rsidRPr="00077903" w:rsidRDefault="001D0752" w:rsidP="001D0752">
      <w:pPr>
        <w:pStyle w:val="a7"/>
        <w:tabs>
          <w:tab w:val="left" w:pos="4536"/>
        </w:tabs>
        <w:spacing w:line="360" w:lineRule="auto"/>
        <w:ind w:left="4962"/>
        <w:jc w:val="left"/>
      </w:pPr>
      <w:proofErr w:type="spellStart"/>
      <w:r w:rsidRPr="00077903">
        <w:t>групи</w:t>
      </w:r>
      <w:proofErr w:type="spellEnd"/>
      <w:r w:rsidRPr="00077903">
        <w:t xml:space="preserve"> МгХФ-19</w:t>
      </w:r>
    </w:p>
    <w:p w:rsidR="001D0752" w:rsidRPr="00077903" w:rsidRDefault="001D0752" w:rsidP="001D0752">
      <w:pPr>
        <w:pStyle w:val="a7"/>
        <w:tabs>
          <w:tab w:val="left" w:pos="4536"/>
          <w:tab w:val="center" w:pos="4890"/>
          <w:tab w:val="right" w:pos="9781"/>
        </w:tabs>
        <w:spacing w:line="360" w:lineRule="auto"/>
        <w:ind w:left="4962"/>
        <w:jc w:val="left"/>
      </w:pPr>
      <w:proofErr w:type="spellStart"/>
      <w:r w:rsidRPr="00077903">
        <w:t>спеціальності</w:t>
      </w:r>
      <w:proofErr w:type="spellEnd"/>
      <w:r w:rsidRPr="00077903">
        <w:t xml:space="preserve">  </w:t>
      </w:r>
    </w:p>
    <w:p w:rsidR="001D0752" w:rsidRPr="00077903" w:rsidRDefault="001D0752" w:rsidP="001D0752">
      <w:pPr>
        <w:pStyle w:val="a7"/>
        <w:tabs>
          <w:tab w:val="left" w:pos="4536"/>
          <w:tab w:val="center" w:pos="4890"/>
          <w:tab w:val="right" w:pos="9781"/>
        </w:tabs>
        <w:spacing w:line="360" w:lineRule="auto"/>
        <w:ind w:left="4962"/>
        <w:jc w:val="left"/>
      </w:pPr>
      <w:r w:rsidRPr="00077903">
        <w:t xml:space="preserve">226 – </w:t>
      </w:r>
      <w:proofErr w:type="spellStart"/>
      <w:r w:rsidRPr="00077903">
        <w:t>Фармація</w:t>
      </w:r>
      <w:proofErr w:type="spellEnd"/>
      <w:r w:rsidRPr="00077903">
        <w:t xml:space="preserve">, </w:t>
      </w:r>
      <w:proofErr w:type="spellStart"/>
      <w:r w:rsidRPr="00077903">
        <w:t>промислова</w:t>
      </w:r>
      <w:proofErr w:type="spellEnd"/>
      <w:r w:rsidRPr="00077903">
        <w:t xml:space="preserve"> </w:t>
      </w:r>
      <w:proofErr w:type="spellStart"/>
      <w:r w:rsidRPr="00077903">
        <w:t>фармація</w:t>
      </w:r>
      <w:proofErr w:type="spellEnd"/>
    </w:p>
    <w:p w:rsidR="001D0752" w:rsidRPr="00077903" w:rsidRDefault="001D0752" w:rsidP="001D0752">
      <w:pPr>
        <w:pStyle w:val="a7"/>
        <w:tabs>
          <w:tab w:val="left" w:pos="4536"/>
          <w:tab w:val="center" w:pos="4890"/>
          <w:tab w:val="right" w:pos="9781"/>
        </w:tabs>
        <w:spacing w:line="360" w:lineRule="auto"/>
        <w:ind w:left="4962"/>
        <w:jc w:val="left"/>
      </w:pPr>
      <w:r w:rsidRPr="00077903">
        <w:t>Манацюк В.В.</w:t>
      </w:r>
    </w:p>
    <w:p w:rsidR="001D0752" w:rsidRPr="00077903" w:rsidRDefault="001D0752" w:rsidP="001D0752">
      <w:pPr>
        <w:pStyle w:val="a7"/>
        <w:tabs>
          <w:tab w:val="left" w:pos="4536"/>
        </w:tabs>
        <w:spacing w:line="360" w:lineRule="auto"/>
        <w:ind w:left="4962"/>
        <w:jc w:val="left"/>
      </w:pPr>
      <w:proofErr w:type="spellStart"/>
      <w:proofErr w:type="gramStart"/>
      <w:r w:rsidRPr="00077903">
        <w:t>Керівник</w:t>
      </w:r>
      <w:proofErr w:type="spellEnd"/>
      <w:r w:rsidRPr="00077903">
        <w:t xml:space="preserve">  </w:t>
      </w:r>
      <w:proofErr w:type="spellStart"/>
      <w:r w:rsidRPr="00077903">
        <w:t>к.ф.н</w:t>
      </w:r>
      <w:proofErr w:type="spellEnd"/>
      <w:proofErr w:type="gramEnd"/>
      <w:r w:rsidRPr="00077903">
        <w:t xml:space="preserve">, доц. </w:t>
      </w:r>
      <w:proofErr w:type="spellStart"/>
      <w:r w:rsidRPr="00077903">
        <w:t>Салій</w:t>
      </w:r>
      <w:proofErr w:type="spellEnd"/>
      <w:r w:rsidRPr="00077903">
        <w:t xml:space="preserve"> О.О. </w:t>
      </w:r>
    </w:p>
    <w:p w:rsidR="001D0752" w:rsidRPr="00077903" w:rsidRDefault="001D0752" w:rsidP="001D0752">
      <w:pPr>
        <w:pStyle w:val="a7"/>
        <w:tabs>
          <w:tab w:val="left" w:pos="4536"/>
        </w:tabs>
        <w:spacing w:line="360" w:lineRule="auto"/>
        <w:ind w:left="4962"/>
        <w:jc w:val="left"/>
      </w:pPr>
      <w:r w:rsidRPr="00077903">
        <w:t xml:space="preserve">Рецензент  </w:t>
      </w:r>
      <w:proofErr w:type="spellStart"/>
      <w:r w:rsidRPr="00077903">
        <w:t>Гетало</w:t>
      </w:r>
      <w:proofErr w:type="spellEnd"/>
      <w:r w:rsidRPr="00077903">
        <w:t xml:space="preserve"> О.В.</w:t>
      </w:r>
      <w:r w:rsidRPr="00077903">
        <w:tab/>
      </w:r>
    </w:p>
    <w:p w:rsidR="001D0752" w:rsidRPr="00077903" w:rsidRDefault="001D0752" w:rsidP="001D0752">
      <w:pPr>
        <w:pStyle w:val="a7"/>
        <w:spacing w:line="360" w:lineRule="auto"/>
        <w:jc w:val="right"/>
      </w:pPr>
    </w:p>
    <w:p w:rsidR="001D0752" w:rsidRPr="00077903" w:rsidRDefault="001D0752" w:rsidP="001D0752">
      <w:pPr>
        <w:pStyle w:val="a7"/>
        <w:spacing w:line="360" w:lineRule="auto"/>
        <w:jc w:val="right"/>
      </w:pPr>
    </w:p>
    <w:p w:rsidR="001D0752" w:rsidRPr="00077903" w:rsidRDefault="001D0752" w:rsidP="001D0752">
      <w:pPr>
        <w:pStyle w:val="a7"/>
        <w:spacing w:line="360" w:lineRule="auto"/>
        <w:jc w:val="right"/>
      </w:pPr>
    </w:p>
    <w:p w:rsidR="001D0752" w:rsidRPr="00077903" w:rsidRDefault="001D0752" w:rsidP="001D0752">
      <w:pPr>
        <w:pStyle w:val="a7"/>
        <w:spacing w:line="360" w:lineRule="auto"/>
        <w:jc w:val="right"/>
      </w:pPr>
    </w:p>
    <w:p w:rsidR="001D0752" w:rsidRPr="00077903" w:rsidRDefault="001D0752" w:rsidP="001D0752">
      <w:pPr>
        <w:pStyle w:val="a7"/>
        <w:spacing w:line="360" w:lineRule="auto"/>
        <w:jc w:val="right"/>
      </w:pPr>
    </w:p>
    <w:p w:rsidR="001D0752" w:rsidRPr="00077903" w:rsidRDefault="001D0752" w:rsidP="001D0752">
      <w:pPr>
        <w:rPr>
          <w:rFonts w:ascii="Times New Roman" w:hAnsi="Times New Roman"/>
        </w:rPr>
      </w:pPr>
    </w:p>
    <w:p w:rsidR="001D0752" w:rsidRPr="00077903" w:rsidRDefault="001D0752" w:rsidP="001D0752">
      <w:pPr>
        <w:rPr>
          <w:rFonts w:ascii="Times New Roman" w:hAnsi="Times New Roman"/>
        </w:rPr>
      </w:pPr>
    </w:p>
    <w:p w:rsidR="001D0752" w:rsidRPr="00077903" w:rsidRDefault="001D0752" w:rsidP="001D0752">
      <w:pPr>
        <w:rPr>
          <w:rFonts w:ascii="Times New Roman" w:hAnsi="Times New Roman"/>
        </w:rPr>
      </w:pPr>
    </w:p>
    <w:p w:rsidR="001D0752" w:rsidRDefault="001D0752" w:rsidP="001D0752">
      <w:pPr>
        <w:spacing w:line="360" w:lineRule="auto"/>
        <w:ind w:firstLine="709"/>
        <w:jc w:val="center"/>
        <w:rPr>
          <w:b/>
        </w:rPr>
      </w:pPr>
      <w:r w:rsidRPr="00077903">
        <w:rPr>
          <w:rFonts w:ascii="Times New Roman" w:hAnsi="Times New Roman"/>
        </w:rPr>
        <w:t>Київ - 2020 р.</w:t>
      </w:r>
    </w:p>
    <w:p w:rsidR="001D0752" w:rsidRDefault="001D0752">
      <w:pPr>
        <w:spacing w:line="360" w:lineRule="auto"/>
        <w:ind w:firstLine="709"/>
        <w:rPr>
          <w:rFonts w:ascii="Times New Roman" w:eastAsia="Calibri" w:hAnsi="Times New Roman"/>
          <w:b/>
          <w:lang w:eastAsia="ru-RU"/>
        </w:rPr>
      </w:pPr>
      <w:r>
        <w:rPr>
          <w:b/>
        </w:rPr>
        <w:br w:type="page"/>
      </w:r>
    </w:p>
    <w:p w:rsidR="001D0752" w:rsidRPr="00077903" w:rsidRDefault="001D0752" w:rsidP="001D0752">
      <w:pPr>
        <w:pStyle w:val="11"/>
        <w:spacing w:after="0"/>
        <w:ind w:firstLine="709"/>
        <w:rPr>
          <w:lang w:val="uk-UA"/>
        </w:rPr>
      </w:pPr>
      <w:r w:rsidRPr="00077903">
        <w:rPr>
          <w:b/>
          <w:lang w:val="uk-UA"/>
        </w:rPr>
        <w:lastRenderedPageBreak/>
        <w:t>Актуальність теми дослідження</w:t>
      </w:r>
      <w:r w:rsidRPr="00077903">
        <w:rPr>
          <w:lang w:val="uk-UA"/>
        </w:rPr>
        <w:t xml:space="preserve">. </w:t>
      </w:r>
      <w:r w:rsidRPr="00077903">
        <w:rPr>
          <w:szCs w:val="24"/>
          <w:lang w:val="uk-UA"/>
        </w:rPr>
        <w:t xml:space="preserve">Відомо, що у педіатричній практиці парацетамол визнано золотим стандартом </w:t>
      </w:r>
      <w:r>
        <w:rPr>
          <w:szCs w:val="24"/>
          <w:lang w:val="uk-UA"/>
        </w:rPr>
        <w:t>лікування підвищеної</w:t>
      </w:r>
      <w:r>
        <w:rPr>
          <w:color w:val="000000"/>
          <w:szCs w:val="24"/>
          <w:shd w:val="clear" w:color="auto" w:fill="FFFFFF"/>
          <w:lang w:val="uk-UA"/>
        </w:rPr>
        <w:t xml:space="preserve"> </w:t>
      </w:r>
      <w:r w:rsidRPr="00077903">
        <w:rPr>
          <w:color w:val="000000"/>
          <w:szCs w:val="24"/>
          <w:shd w:val="clear" w:color="auto" w:fill="FFFFFF"/>
          <w:lang w:val="uk-UA"/>
        </w:rPr>
        <w:t>температури тіла у дітей. Вибір лікарської форми, як супозиторії, особливо обґрунтовано у випадках, к</w:t>
      </w:r>
      <w:r w:rsidRPr="00077903">
        <w:rPr>
          <w:color w:val="000000"/>
          <w:szCs w:val="24"/>
          <w:lang w:val="uk-UA"/>
        </w:rPr>
        <w:t xml:space="preserve">оли у дитини підвищення температури тіла супроводжується ознаками інтоксикації (відмова від їжі, пиття, надмірна сонливість, блювання) та/або пероральна доставка лікарського засобу неможлива. Тому актуальним напрямком є оцінка якості лікарських засобів </w:t>
      </w:r>
      <w:r w:rsidRPr="00474ACA">
        <w:rPr>
          <w:color w:val="000000"/>
          <w:szCs w:val="24"/>
          <w:lang w:val="uk-UA"/>
        </w:rPr>
        <w:t>фармакопейними тестами фармако-технологічних показників</w:t>
      </w:r>
      <w:r>
        <w:rPr>
          <w:color w:val="000000"/>
          <w:szCs w:val="24"/>
          <w:lang w:val="uk-UA"/>
        </w:rPr>
        <w:t xml:space="preserve"> та </w:t>
      </w:r>
      <w:proofErr w:type="spellStart"/>
      <w:r w:rsidRPr="00077903">
        <w:rPr>
          <w:color w:val="000000"/>
          <w:szCs w:val="24"/>
          <w:lang w:val="uk-UA"/>
        </w:rPr>
        <w:t>валідованими</w:t>
      </w:r>
      <w:proofErr w:type="spellEnd"/>
      <w:r w:rsidRPr="00077903">
        <w:rPr>
          <w:color w:val="000000"/>
          <w:szCs w:val="24"/>
          <w:lang w:val="uk-UA"/>
        </w:rPr>
        <w:t xml:space="preserve"> аналітичними методиками, які дозволяють отримувати коректні результати щодо вмісту діючої речовини</w:t>
      </w:r>
      <w:r>
        <w:rPr>
          <w:strike/>
          <w:color w:val="000000"/>
          <w:szCs w:val="24"/>
          <w:lang w:val="uk-UA"/>
        </w:rPr>
        <w:t>,</w:t>
      </w:r>
      <w:r w:rsidRPr="00077903">
        <w:rPr>
          <w:color w:val="000000"/>
          <w:szCs w:val="24"/>
          <w:lang w:val="uk-UA"/>
        </w:rPr>
        <w:t xml:space="preserve"> а також вмісту нормованих супутніх домішок</w:t>
      </w:r>
      <w:r w:rsidR="00F0743D">
        <w:rPr>
          <w:color w:val="000000"/>
          <w:szCs w:val="24"/>
          <w:lang w:val="uk-UA"/>
        </w:rPr>
        <w:t xml:space="preserve"> </w:t>
      </w:r>
      <w:r w:rsidRPr="00474ACA">
        <w:rPr>
          <w:color w:val="000000"/>
          <w:szCs w:val="24"/>
          <w:lang w:val="uk-UA"/>
        </w:rPr>
        <w:t xml:space="preserve">у </w:t>
      </w:r>
      <w:proofErr w:type="spellStart"/>
      <w:r w:rsidRPr="00474ACA">
        <w:rPr>
          <w:color w:val="000000"/>
          <w:szCs w:val="24"/>
          <w:lang w:val="uk-UA"/>
        </w:rPr>
        <w:t>супозиторіях</w:t>
      </w:r>
      <w:proofErr w:type="spellEnd"/>
      <w:r w:rsidRPr="00474ACA">
        <w:rPr>
          <w:color w:val="000000"/>
          <w:szCs w:val="24"/>
          <w:lang w:val="uk-UA"/>
        </w:rPr>
        <w:t xml:space="preserve"> для педіатричного застосування.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  <w:color w:val="000000"/>
          <w:szCs w:val="24"/>
        </w:rPr>
      </w:pPr>
      <w:r w:rsidRPr="00077903">
        <w:rPr>
          <w:rFonts w:ascii="Times New Roman" w:eastAsia="Times New Roman" w:hAnsi="Times New Roman"/>
          <w:b/>
          <w:lang w:eastAsia="uk-UA"/>
        </w:rPr>
        <w:t>Мета і завдання</w:t>
      </w:r>
      <w:r w:rsidRPr="00077903">
        <w:rPr>
          <w:rFonts w:ascii="Arial" w:eastAsia="Times New Roman" w:hAnsi="Arial" w:cs="Arial"/>
          <w:lang w:eastAsia="uk-UA"/>
        </w:rPr>
        <w:t xml:space="preserve">. </w:t>
      </w:r>
      <w:r w:rsidRPr="00077903">
        <w:rPr>
          <w:rFonts w:ascii="Times New Roman" w:hAnsi="Times New Roman"/>
          <w:color w:val="000000"/>
          <w:szCs w:val="24"/>
        </w:rPr>
        <w:t xml:space="preserve">Метою даної роботи </w:t>
      </w:r>
      <w:r w:rsidRPr="00474ACA">
        <w:rPr>
          <w:rFonts w:ascii="Times New Roman" w:hAnsi="Times New Roman"/>
          <w:color w:val="000000"/>
          <w:szCs w:val="24"/>
        </w:rPr>
        <w:t>є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77903">
        <w:rPr>
          <w:rFonts w:ascii="Times New Roman" w:hAnsi="Times New Roman"/>
          <w:color w:val="000000"/>
          <w:szCs w:val="24"/>
        </w:rPr>
        <w:t>ф</w:t>
      </w:r>
      <w:r w:rsidRPr="00077903">
        <w:rPr>
          <w:rFonts w:ascii="Times New Roman" w:hAnsi="Times New Roman"/>
          <w:szCs w:val="24"/>
        </w:rPr>
        <w:t>армацевтичн</w:t>
      </w:r>
      <w:r>
        <w:rPr>
          <w:rFonts w:ascii="Times New Roman" w:hAnsi="Times New Roman"/>
          <w:szCs w:val="24"/>
        </w:rPr>
        <w:t>а</w:t>
      </w:r>
      <w:r w:rsidRPr="00077903">
        <w:rPr>
          <w:rFonts w:ascii="Times New Roman" w:hAnsi="Times New Roman"/>
          <w:szCs w:val="24"/>
        </w:rPr>
        <w:t xml:space="preserve"> розробк</w:t>
      </w:r>
      <w:r>
        <w:rPr>
          <w:rFonts w:ascii="Times New Roman" w:hAnsi="Times New Roman"/>
          <w:szCs w:val="24"/>
        </w:rPr>
        <w:t>а</w:t>
      </w:r>
      <w:r w:rsidRPr="00077903">
        <w:rPr>
          <w:rFonts w:ascii="Times New Roman" w:hAnsi="Times New Roman"/>
          <w:szCs w:val="24"/>
        </w:rPr>
        <w:t xml:space="preserve"> склад</w:t>
      </w:r>
      <w:r>
        <w:rPr>
          <w:rFonts w:ascii="Times New Roman" w:hAnsi="Times New Roman"/>
          <w:szCs w:val="24"/>
        </w:rPr>
        <w:t>у</w:t>
      </w:r>
      <w:r w:rsidRPr="00077903">
        <w:rPr>
          <w:rFonts w:ascii="Times New Roman" w:hAnsi="Times New Roman"/>
          <w:szCs w:val="24"/>
        </w:rPr>
        <w:t xml:space="preserve"> та специфікації контролю якості супозиторіїв, а також </w:t>
      </w:r>
      <w:r w:rsidRPr="00077903">
        <w:rPr>
          <w:rFonts w:ascii="Times New Roman" w:hAnsi="Times New Roman"/>
          <w:color w:val="000000"/>
          <w:szCs w:val="24"/>
        </w:rPr>
        <w:t xml:space="preserve">дослідити </w:t>
      </w:r>
      <w:proofErr w:type="spellStart"/>
      <w:r w:rsidRPr="00077903">
        <w:rPr>
          <w:rFonts w:ascii="Times New Roman" w:hAnsi="Times New Roman"/>
          <w:color w:val="000000"/>
          <w:szCs w:val="24"/>
        </w:rPr>
        <w:t>валідаційні</w:t>
      </w:r>
      <w:proofErr w:type="spellEnd"/>
      <w:r w:rsidRPr="00077903">
        <w:rPr>
          <w:rFonts w:ascii="Times New Roman" w:hAnsi="Times New Roman"/>
          <w:color w:val="000000"/>
          <w:szCs w:val="24"/>
        </w:rPr>
        <w:t xml:space="preserve"> характеристики методики кількісного визначення </w:t>
      </w:r>
      <w:proofErr w:type="spellStart"/>
      <w:r w:rsidRPr="00077903">
        <w:rPr>
          <w:rFonts w:ascii="Times New Roman" w:hAnsi="Times New Roman"/>
          <w:color w:val="000000"/>
          <w:szCs w:val="24"/>
        </w:rPr>
        <w:t>парацетамолу</w:t>
      </w:r>
      <w:proofErr w:type="spellEnd"/>
      <w:r w:rsidRPr="00077903">
        <w:rPr>
          <w:rFonts w:ascii="Times New Roman" w:hAnsi="Times New Roman"/>
          <w:color w:val="000000"/>
          <w:szCs w:val="24"/>
        </w:rPr>
        <w:t xml:space="preserve"> </w:t>
      </w:r>
      <w:r w:rsidRPr="00077903">
        <w:rPr>
          <w:rFonts w:ascii="Times New Roman" w:hAnsi="Times New Roman"/>
          <w:bCs/>
          <w:color w:val="000000"/>
          <w:szCs w:val="24"/>
        </w:rPr>
        <w:t xml:space="preserve">та його основної домішки </w:t>
      </w:r>
      <w:r w:rsidRPr="00077903">
        <w:rPr>
          <w:rFonts w:ascii="Times New Roman" w:hAnsi="Times New Roman"/>
          <w:color w:val="000000"/>
          <w:szCs w:val="24"/>
        </w:rPr>
        <w:t xml:space="preserve">методами спектрофотометрії та </w:t>
      </w:r>
      <w:r w:rsidRPr="00077903">
        <w:rPr>
          <w:rFonts w:ascii="Times New Roman" w:hAnsi="Times New Roman"/>
          <w:szCs w:val="24"/>
          <w:shd w:val="clear" w:color="auto" w:fill="FFFFFF"/>
        </w:rPr>
        <w:t>високоефективної рідинної хроматографії</w:t>
      </w:r>
      <w:r w:rsidRPr="00077903">
        <w:rPr>
          <w:rFonts w:ascii="Times New Roman" w:hAnsi="Times New Roman"/>
          <w:color w:val="000000"/>
          <w:szCs w:val="24"/>
        </w:rPr>
        <w:t xml:space="preserve"> відповідно.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  <w:i/>
        </w:rPr>
      </w:pPr>
      <w:r w:rsidRPr="00077903">
        <w:rPr>
          <w:rFonts w:ascii="Times New Roman" w:hAnsi="Times New Roman"/>
          <w:b/>
          <w:bCs/>
        </w:rPr>
        <w:t>Основні з</w:t>
      </w:r>
      <w:r w:rsidRPr="00077903">
        <w:rPr>
          <w:rFonts w:ascii="Times New Roman" w:hAnsi="Times New Roman"/>
          <w:b/>
        </w:rPr>
        <w:t>адачі дослідження</w:t>
      </w:r>
      <w:r w:rsidRPr="00077903">
        <w:rPr>
          <w:rFonts w:ascii="Times New Roman" w:hAnsi="Times New Roman"/>
          <w:i/>
        </w:rPr>
        <w:t>:</w:t>
      </w:r>
    </w:p>
    <w:p w:rsidR="001D0752" w:rsidRPr="00474ACA" w:rsidRDefault="001D0752" w:rsidP="001D0752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AE5">
        <w:rPr>
          <w:rFonts w:ascii="Times New Roman" w:hAnsi="Times New Roman"/>
          <w:sz w:val="28"/>
          <w:szCs w:val="28"/>
        </w:rPr>
        <w:t xml:space="preserve">Провести аналіз ринку лікарських засобів на основі </w:t>
      </w:r>
      <w:proofErr w:type="spellStart"/>
      <w:r w:rsidRPr="004D2AE5">
        <w:rPr>
          <w:rFonts w:ascii="Times New Roman" w:hAnsi="Times New Roman"/>
          <w:sz w:val="28"/>
          <w:szCs w:val="28"/>
        </w:rPr>
        <w:t>парацетамолу</w:t>
      </w:r>
      <w:proofErr w:type="spellEnd"/>
      <w:r>
        <w:rPr>
          <w:rFonts w:ascii="Times New Roman" w:hAnsi="Times New Roman"/>
          <w:sz w:val="28"/>
          <w:szCs w:val="28"/>
        </w:rPr>
        <w:t>, які застосовують у педіатрії.</w:t>
      </w:r>
    </w:p>
    <w:p w:rsidR="001D0752" w:rsidRPr="00474ACA" w:rsidRDefault="001D0752" w:rsidP="001D0752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4AC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CA">
        <w:rPr>
          <w:rFonts w:ascii="Times New Roman" w:hAnsi="Times New Roman"/>
          <w:sz w:val="28"/>
          <w:szCs w:val="28"/>
        </w:rPr>
        <w:t>фармако-технологічні випробування згідно вимог ДФУ.</w:t>
      </w:r>
    </w:p>
    <w:p w:rsidR="001D0752" w:rsidRPr="004D2AE5" w:rsidRDefault="001D0752" w:rsidP="001D0752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AE5">
        <w:rPr>
          <w:rFonts w:ascii="Times New Roman" w:hAnsi="Times New Roman"/>
          <w:sz w:val="28"/>
          <w:szCs w:val="28"/>
        </w:rPr>
        <w:t>Провести  аналітичні дослідження</w:t>
      </w:r>
      <w:r>
        <w:rPr>
          <w:rFonts w:ascii="Times New Roman" w:hAnsi="Times New Roman"/>
          <w:sz w:val="28"/>
          <w:szCs w:val="28"/>
        </w:rPr>
        <w:t>,</w:t>
      </w:r>
      <w:r w:rsidRPr="004D2AE5">
        <w:rPr>
          <w:rFonts w:ascii="Times New Roman" w:hAnsi="Times New Roman"/>
          <w:sz w:val="28"/>
          <w:szCs w:val="28"/>
        </w:rPr>
        <w:t xml:space="preserve"> а саме </w:t>
      </w:r>
      <w:proofErr w:type="spellStart"/>
      <w:r w:rsidRPr="004D2AE5">
        <w:rPr>
          <w:rFonts w:ascii="Times New Roman" w:hAnsi="Times New Roman"/>
          <w:sz w:val="28"/>
          <w:szCs w:val="28"/>
        </w:rPr>
        <w:t>валідацію</w:t>
      </w:r>
      <w:proofErr w:type="spellEnd"/>
      <w:r w:rsidRPr="004D2AE5">
        <w:rPr>
          <w:rFonts w:ascii="Times New Roman" w:hAnsi="Times New Roman"/>
          <w:sz w:val="28"/>
          <w:szCs w:val="28"/>
        </w:rPr>
        <w:t xml:space="preserve"> аналітичних </w:t>
      </w:r>
      <w:proofErr w:type="spellStart"/>
      <w:r w:rsidRPr="004D2AE5">
        <w:rPr>
          <w:rFonts w:ascii="Times New Roman" w:hAnsi="Times New Roman"/>
          <w:sz w:val="28"/>
          <w:szCs w:val="28"/>
        </w:rPr>
        <w:t>методик</w:t>
      </w:r>
      <w:proofErr w:type="spellEnd"/>
      <w:r w:rsidRPr="004D2AE5">
        <w:rPr>
          <w:rFonts w:ascii="Times New Roman" w:hAnsi="Times New Roman"/>
          <w:sz w:val="28"/>
          <w:szCs w:val="28"/>
        </w:rPr>
        <w:t xml:space="preserve"> </w:t>
      </w:r>
      <w:r w:rsidRPr="00474ACA">
        <w:rPr>
          <w:rFonts w:ascii="Times New Roman" w:hAnsi="Times New Roman"/>
          <w:sz w:val="28"/>
          <w:szCs w:val="28"/>
        </w:rPr>
        <w:t>визначення кількісного вмісту та основної домішки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E5">
        <w:rPr>
          <w:rFonts w:ascii="Times New Roman" w:hAnsi="Times New Roman"/>
          <w:sz w:val="28"/>
          <w:szCs w:val="28"/>
        </w:rPr>
        <w:t>супозиторіїв з парацетамолом.</w:t>
      </w:r>
    </w:p>
    <w:p w:rsidR="001D0752" w:rsidRPr="004D2AE5" w:rsidRDefault="001D0752" w:rsidP="001D0752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AE5">
        <w:rPr>
          <w:rFonts w:ascii="Times New Roman" w:hAnsi="Times New Roman"/>
          <w:sz w:val="28"/>
          <w:szCs w:val="28"/>
        </w:rPr>
        <w:t xml:space="preserve">Розробити </w:t>
      </w:r>
      <w:r w:rsidRPr="00474ACA">
        <w:rPr>
          <w:rFonts w:ascii="Times New Roman" w:hAnsi="Times New Roman"/>
          <w:sz w:val="28"/>
          <w:szCs w:val="28"/>
          <w:lang w:val="en-US"/>
        </w:rPr>
        <w:t>GMP</w:t>
      </w:r>
      <w:r w:rsidRPr="00474ACA">
        <w:rPr>
          <w:rFonts w:ascii="Times New Roman" w:hAnsi="Times New Roman"/>
          <w:sz w:val="28"/>
          <w:szCs w:val="28"/>
        </w:rPr>
        <w:t>–концепцію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CA">
        <w:rPr>
          <w:rFonts w:ascii="Times New Roman" w:hAnsi="Times New Roman"/>
          <w:sz w:val="28"/>
          <w:szCs w:val="28"/>
        </w:rPr>
        <w:t>технологічного</w:t>
      </w:r>
      <w:r w:rsidRPr="004D2AE5">
        <w:rPr>
          <w:rFonts w:ascii="Times New Roman" w:hAnsi="Times New Roman"/>
          <w:sz w:val="28"/>
          <w:szCs w:val="28"/>
        </w:rPr>
        <w:t xml:space="preserve"> проце</w:t>
      </w:r>
      <w:r w:rsidRPr="00474A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 w:rsidRPr="004D2AE5">
        <w:rPr>
          <w:rFonts w:ascii="Times New Roman" w:hAnsi="Times New Roman"/>
          <w:sz w:val="28"/>
          <w:szCs w:val="28"/>
        </w:rPr>
        <w:t xml:space="preserve"> виробництва лікарського засобу у формі супозиторіїв.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  <w:b/>
        </w:rPr>
      </w:pPr>
      <w:r w:rsidRPr="00077903">
        <w:rPr>
          <w:rFonts w:ascii="Times New Roman" w:hAnsi="Times New Roman"/>
          <w:b/>
        </w:rPr>
        <w:t>Об’єкт дослідження</w:t>
      </w:r>
      <w:r w:rsidRPr="00077903">
        <w:rPr>
          <w:rFonts w:ascii="Times New Roman" w:hAnsi="Times New Roman"/>
          <w:i/>
        </w:rPr>
        <w:t xml:space="preserve">: </w:t>
      </w:r>
      <w:r w:rsidRPr="00077903">
        <w:rPr>
          <w:rFonts w:ascii="Times New Roman" w:hAnsi="Times New Roman"/>
        </w:rPr>
        <w:t>основна</w:t>
      </w:r>
      <w:r>
        <w:rPr>
          <w:rFonts w:ascii="Times New Roman" w:hAnsi="Times New Roman"/>
        </w:rPr>
        <w:t xml:space="preserve"> д</w:t>
      </w:r>
      <w:r w:rsidRPr="00077903">
        <w:rPr>
          <w:rFonts w:ascii="Times New Roman" w:hAnsi="Times New Roman"/>
        </w:rPr>
        <w:t>іюча речовина</w:t>
      </w:r>
      <w:r w:rsidRPr="00077903">
        <w:rPr>
          <w:rFonts w:ascii="Times New Roman" w:hAnsi="Times New Roman"/>
          <w:b/>
        </w:rPr>
        <w:t xml:space="preserve"> - </w:t>
      </w:r>
      <w:r w:rsidRPr="00077903">
        <w:rPr>
          <w:rFonts w:ascii="Times New Roman" w:hAnsi="Times New Roman"/>
        </w:rPr>
        <w:t>парацетамол, допоміжна речовина – твердий жир, лікарська форма - супозиторії, технологічний процес.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077903">
        <w:rPr>
          <w:rFonts w:ascii="Times New Roman" w:hAnsi="Times New Roman"/>
          <w:b/>
        </w:rPr>
        <w:t>Предмет дослідження</w:t>
      </w:r>
      <w:r w:rsidR="00F0743D" w:rsidRPr="00F0743D">
        <w:rPr>
          <w:rFonts w:ascii="Times New Roman" w:hAnsi="Times New Roman"/>
          <w:b/>
        </w:rPr>
        <w:t xml:space="preserve"> </w:t>
      </w:r>
      <w:r w:rsidRPr="00077903">
        <w:rPr>
          <w:rFonts w:ascii="Times New Roman" w:hAnsi="Times New Roman"/>
          <w:i/>
        </w:rPr>
        <w:t>:</w:t>
      </w:r>
      <w:r w:rsidRPr="00077903">
        <w:rPr>
          <w:rFonts w:ascii="Times New Roman" w:hAnsi="Times New Roman"/>
        </w:rPr>
        <w:t xml:space="preserve">фізико-хімічні та фармако-технологічні властивості </w:t>
      </w:r>
      <w:proofErr w:type="spellStart"/>
      <w:r w:rsidRPr="00077903">
        <w:rPr>
          <w:rFonts w:ascii="Times New Roman" w:hAnsi="Times New Roman"/>
        </w:rPr>
        <w:t>парацетамолу</w:t>
      </w:r>
      <w:proofErr w:type="spellEnd"/>
      <w:r w:rsidRPr="00077903">
        <w:rPr>
          <w:rFonts w:ascii="Times New Roman" w:hAnsi="Times New Roman"/>
        </w:rPr>
        <w:t xml:space="preserve">, </w:t>
      </w:r>
      <w:proofErr w:type="spellStart"/>
      <w:r w:rsidRPr="00077903">
        <w:rPr>
          <w:rFonts w:ascii="Times New Roman" w:hAnsi="Times New Roman"/>
        </w:rPr>
        <w:t>в</w:t>
      </w:r>
      <w:r w:rsidRPr="00077903">
        <w:rPr>
          <w:rFonts w:ascii="Times New Roman" w:hAnsi="Times New Roman"/>
          <w:color w:val="000000"/>
          <w:szCs w:val="24"/>
        </w:rPr>
        <w:t>алідаційні</w:t>
      </w:r>
      <w:proofErr w:type="spellEnd"/>
      <w:r w:rsidRPr="00077903">
        <w:rPr>
          <w:rFonts w:ascii="Times New Roman" w:hAnsi="Times New Roman"/>
          <w:color w:val="000000"/>
          <w:szCs w:val="24"/>
        </w:rPr>
        <w:t xml:space="preserve"> характеристики методики кількісного визначення </w:t>
      </w:r>
      <w:proofErr w:type="spellStart"/>
      <w:r w:rsidRPr="00077903">
        <w:rPr>
          <w:rFonts w:ascii="Times New Roman" w:hAnsi="Times New Roman"/>
          <w:color w:val="000000"/>
          <w:szCs w:val="24"/>
        </w:rPr>
        <w:t>парацетамолу</w:t>
      </w:r>
      <w:proofErr w:type="spellEnd"/>
      <w:r w:rsidRPr="00077903">
        <w:rPr>
          <w:rFonts w:ascii="Times New Roman" w:hAnsi="Times New Roman"/>
          <w:color w:val="000000"/>
          <w:szCs w:val="24"/>
        </w:rPr>
        <w:t xml:space="preserve"> </w:t>
      </w:r>
      <w:r w:rsidRPr="00077903">
        <w:rPr>
          <w:rFonts w:ascii="Times New Roman" w:hAnsi="Times New Roman"/>
          <w:bCs/>
          <w:color w:val="000000"/>
          <w:szCs w:val="24"/>
        </w:rPr>
        <w:t>та його основної домішки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077903">
        <w:rPr>
          <w:rFonts w:ascii="Times New Roman" w:hAnsi="Times New Roman"/>
          <w:b/>
        </w:rPr>
        <w:lastRenderedPageBreak/>
        <w:t>Методи дослідження</w:t>
      </w:r>
      <w:r w:rsidRPr="00077903">
        <w:rPr>
          <w:rFonts w:ascii="Times New Roman" w:hAnsi="Times New Roman"/>
          <w:i/>
        </w:rPr>
        <w:t xml:space="preserve">. </w:t>
      </w:r>
      <w:r w:rsidRPr="00077903">
        <w:rPr>
          <w:rFonts w:ascii="Times New Roman" w:hAnsi="Times New Roman"/>
        </w:rPr>
        <w:t>При проведенні досліджень були задіяні методи досліджень:</w:t>
      </w:r>
    </w:p>
    <w:p w:rsidR="001D0752" w:rsidRPr="00077903" w:rsidRDefault="001D0752" w:rsidP="001D0752">
      <w:pPr>
        <w:widowControl w:val="0"/>
        <w:numPr>
          <w:ilvl w:val="0"/>
          <w:numId w:val="1"/>
        </w:numPr>
        <w:suppressAutoHyphens/>
        <w:spacing w:line="360" w:lineRule="auto"/>
        <w:ind w:left="0" w:firstLine="567"/>
        <w:rPr>
          <w:rFonts w:ascii="Times New Roman" w:hAnsi="Times New Roman"/>
        </w:rPr>
      </w:pPr>
      <w:r w:rsidRPr="00077903">
        <w:rPr>
          <w:rFonts w:ascii="Times New Roman" w:hAnsi="Times New Roman"/>
        </w:rPr>
        <w:t>Теоретичний (аналіз нормативної літератури, наукових  праць та ін.);</w:t>
      </w:r>
    </w:p>
    <w:p w:rsidR="001D0752" w:rsidRPr="00077903" w:rsidRDefault="001D0752" w:rsidP="001D0752">
      <w:pPr>
        <w:widowControl w:val="0"/>
        <w:numPr>
          <w:ilvl w:val="0"/>
          <w:numId w:val="1"/>
        </w:numPr>
        <w:suppressAutoHyphens/>
        <w:spacing w:line="360" w:lineRule="auto"/>
        <w:ind w:left="0" w:firstLine="567"/>
        <w:rPr>
          <w:rFonts w:ascii="Times New Roman" w:hAnsi="Times New Roman"/>
        </w:rPr>
      </w:pPr>
      <w:r w:rsidRPr="00077903">
        <w:rPr>
          <w:rFonts w:ascii="Times New Roman" w:hAnsi="Times New Roman"/>
        </w:rPr>
        <w:t xml:space="preserve">фізичні та фізико-хімічні методи аналізу згідно вимог ДФУ; </w:t>
      </w:r>
    </w:p>
    <w:p w:rsidR="001D0752" w:rsidRDefault="001D0752" w:rsidP="001D0752">
      <w:pPr>
        <w:widowControl w:val="0"/>
        <w:numPr>
          <w:ilvl w:val="0"/>
          <w:numId w:val="1"/>
        </w:numPr>
        <w:suppressAutoHyphens/>
        <w:spacing w:line="360" w:lineRule="auto"/>
        <w:ind w:left="0" w:firstLine="567"/>
        <w:rPr>
          <w:rFonts w:ascii="Times New Roman" w:hAnsi="Times New Roman"/>
        </w:rPr>
      </w:pPr>
      <w:r w:rsidRPr="00077903">
        <w:rPr>
          <w:rFonts w:ascii="Times New Roman" w:hAnsi="Times New Roman"/>
        </w:rPr>
        <w:t>фармако-технологічні випробування згідно вимог ДФУ.</w:t>
      </w:r>
    </w:p>
    <w:p w:rsidR="001D0752" w:rsidRDefault="001D0752" w:rsidP="001D0752">
      <w:pPr>
        <w:widowControl w:val="0"/>
        <w:numPr>
          <w:ilvl w:val="0"/>
          <w:numId w:val="1"/>
        </w:numPr>
        <w:suppressAutoHyphens/>
        <w:spacing w:line="360" w:lineRule="auto"/>
        <w:ind w:left="0" w:firstLine="567"/>
        <w:rPr>
          <w:rFonts w:ascii="Times New Roman" w:hAnsi="Times New Roman"/>
        </w:rPr>
      </w:pPr>
      <w:r w:rsidRPr="00474ACA">
        <w:rPr>
          <w:rFonts w:ascii="Times New Roman" w:hAnsi="Times New Roman"/>
        </w:rPr>
        <w:t>Аналітичні випробування методом СФ та ВЕРХ.</w:t>
      </w:r>
    </w:p>
    <w:p w:rsidR="001D0752" w:rsidRPr="00474ACA" w:rsidRDefault="001D0752" w:rsidP="001D0752">
      <w:pPr>
        <w:widowControl w:val="0"/>
        <w:numPr>
          <w:ilvl w:val="0"/>
          <w:numId w:val="1"/>
        </w:numPr>
        <w:suppressAutoHyphens/>
        <w:spacing w:line="360" w:lineRule="auto"/>
        <w:ind w:left="0" w:firstLine="567"/>
        <w:rPr>
          <w:rFonts w:ascii="Times New Roman" w:hAnsi="Times New Roman"/>
        </w:rPr>
      </w:pPr>
      <w:r w:rsidRPr="00474ACA">
        <w:rPr>
          <w:rFonts w:ascii="Times New Roman" w:hAnsi="Times New Roman"/>
        </w:rPr>
        <w:t>Обробку результатів досліджень здійснювали статистичним методом.</w:t>
      </w:r>
    </w:p>
    <w:p w:rsidR="001D0752" w:rsidRPr="00A50320" w:rsidRDefault="001D0752" w:rsidP="001D0752">
      <w:pPr>
        <w:spacing w:line="360" w:lineRule="auto"/>
        <w:ind w:firstLine="709"/>
        <w:rPr>
          <w:rFonts w:ascii="Times New Roman" w:eastAsia="Calibri" w:hAnsi="Times New Roman"/>
          <w:strike/>
          <w:color w:val="000000"/>
          <w:szCs w:val="20"/>
        </w:rPr>
      </w:pPr>
      <w:r w:rsidRPr="00077903">
        <w:rPr>
          <w:rFonts w:ascii="Times New Roman" w:hAnsi="Times New Roman"/>
          <w:b/>
          <w:bCs/>
        </w:rPr>
        <w:t>Наукова новизна роботи</w:t>
      </w:r>
      <w:r w:rsidRPr="00077903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Якість досліджуваних супозиторіїв з парацетамолом доведено дослідженнями </w:t>
      </w:r>
      <w:proofErr w:type="spellStart"/>
      <w:r>
        <w:rPr>
          <w:rFonts w:ascii="Times New Roman" w:hAnsi="Times New Roman"/>
          <w:bCs/>
        </w:rPr>
        <w:t>фарма</w:t>
      </w:r>
      <w:proofErr w:type="spellEnd"/>
      <w:r>
        <w:rPr>
          <w:rFonts w:ascii="Times New Roman" w:hAnsi="Times New Roman"/>
          <w:bCs/>
        </w:rPr>
        <w:t xml:space="preserve">-технологічних показників згідно сучасних вимог ДФУ. </w:t>
      </w:r>
      <w:r w:rsidRPr="00077903">
        <w:rPr>
          <w:rFonts w:ascii="Times New Roman" w:eastAsia="Calibri" w:hAnsi="Times New Roman"/>
          <w:bCs/>
          <w:iCs/>
          <w:color w:val="000000"/>
          <w:szCs w:val="20"/>
        </w:rPr>
        <w:t xml:space="preserve">Розроблено і </w:t>
      </w:r>
      <w:proofErr w:type="spellStart"/>
      <w:r w:rsidRPr="00077903">
        <w:rPr>
          <w:rFonts w:ascii="Times New Roman" w:eastAsia="Calibri" w:hAnsi="Times New Roman"/>
          <w:bCs/>
          <w:iCs/>
          <w:color w:val="000000"/>
          <w:szCs w:val="20"/>
        </w:rPr>
        <w:t>валідовано</w:t>
      </w:r>
      <w:proofErr w:type="spellEnd"/>
      <w:r w:rsidRPr="00077903">
        <w:rPr>
          <w:rFonts w:ascii="Times New Roman" w:eastAsia="Calibri" w:hAnsi="Times New Roman"/>
          <w:bCs/>
          <w:iCs/>
          <w:color w:val="000000"/>
          <w:szCs w:val="20"/>
        </w:rPr>
        <w:t xml:space="preserve"> методики кількісного вмісту </w:t>
      </w:r>
      <w:proofErr w:type="spellStart"/>
      <w:r w:rsidRPr="00077903">
        <w:rPr>
          <w:rFonts w:ascii="Times New Roman" w:eastAsia="Calibri" w:hAnsi="Times New Roman"/>
          <w:bCs/>
          <w:iCs/>
          <w:color w:val="000000"/>
          <w:szCs w:val="20"/>
        </w:rPr>
        <w:t>парацетамолу</w:t>
      </w:r>
      <w:proofErr w:type="spellEnd"/>
      <w:r w:rsidRPr="00077903">
        <w:rPr>
          <w:rFonts w:ascii="Times New Roman" w:eastAsia="Calibri" w:hAnsi="Times New Roman"/>
          <w:bCs/>
          <w:iCs/>
          <w:color w:val="000000"/>
          <w:szCs w:val="20"/>
        </w:rPr>
        <w:t xml:space="preserve"> та його </w:t>
      </w:r>
      <w:r w:rsidRPr="00077903">
        <w:rPr>
          <w:rFonts w:ascii="Times New Roman" w:hAnsi="Times New Roman"/>
          <w:bCs/>
          <w:iCs/>
          <w:color w:val="000000"/>
          <w:szCs w:val="20"/>
        </w:rPr>
        <w:t xml:space="preserve">основної домішки у </w:t>
      </w:r>
      <w:proofErr w:type="spellStart"/>
      <w:r w:rsidRPr="00077903">
        <w:rPr>
          <w:rFonts w:ascii="Times New Roman" w:hAnsi="Times New Roman"/>
          <w:bCs/>
          <w:iCs/>
          <w:color w:val="000000"/>
          <w:szCs w:val="20"/>
        </w:rPr>
        <w:t>супозиторіях</w:t>
      </w:r>
      <w:proofErr w:type="spellEnd"/>
      <w:r>
        <w:rPr>
          <w:rFonts w:ascii="Times New Roman" w:hAnsi="Times New Roman"/>
          <w:bCs/>
          <w:iCs/>
          <w:color w:val="000000"/>
          <w:szCs w:val="20"/>
        </w:rPr>
        <w:t>.</w:t>
      </w:r>
    </w:p>
    <w:p w:rsidR="001D0752" w:rsidRDefault="001D0752" w:rsidP="001D0752">
      <w:pPr>
        <w:spacing w:line="360" w:lineRule="auto"/>
        <w:ind w:firstLine="709"/>
        <w:rPr>
          <w:rFonts w:ascii="Times New Roman" w:eastAsia="Calibri" w:hAnsi="Times New Roman"/>
          <w:bCs/>
          <w:iCs/>
          <w:szCs w:val="20"/>
        </w:rPr>
      </w:pPr>
      <w:r>
        <w:rPr>
          <w:rFonts w:ascii="Times New Roman" w:hAnsi="Times New Roman"/>
          <w:b/>
          <w:bCs/>
        </w:rPr>
        <w:t>Практична цінність</w:t>
      </w:r>
      <w:r w:rsidRPr="00077903">
        <w:rPr>
          <w:rFonts w:ascii="Times New Roman" w:hAnsi="Times New Roman"/>
          <w:b/>
          <w:bCs/>
        </w:rPr>
        <w:t xml:space="preserve"> </w:t>
      </w:r>
      <w:r w:rsidRPr="00077903">
        <w:rPr>
          <w:rFonts w:ascii="Times New Roman" w:eastAsia="Calibri" w:hAnsi="Times New Roman"/>
          <w:b/>
          <w:bCs/>
          <w:i/>
          <w:szCs w:val="20"/>
        </w:rPr>
        <w:t>.</w:t>
      </w:r>
      <w:r>
        <w:rPr>
          <w:rFonts w:ascii="Times New Roman" w:eastAsia="Calibri" w:hAnsi="Times New Roman"/>
          <w:b/>
          <w:bCs/>
          <w:i/>
          <w:szCs w:val="20"/>
        </w:rPr>
        <w:t xml:space="preserve"> </w:t>
      </w:r>
      <w:r w:rsidRPr="00077903">
        <w:rPr>
          <w:rFonts w:ascii="Times New Roman" w:eastAsia="Calibri" w:hAnsi="Times New Roman"/>
          <w:bCs/>
          <w:iCs/>
          <w:szCs w:val="20"/>
        </w:rPr>
        <w:t xml:space="preserve">Отримані результати експерименту свідчать, що за дослідженими </w:t>
      </w:r>
      <w:proofErr w:type="spellStart"/>
      <w:r w:rsidRPr="00077903">
        <w:rPr>
          <w:rFonts w:ascii="Times New Roman" w:eastAsia="Calibri" w:hAnsi="Times New Roman"/>
          <w:bCs/>
          <w:iCs/>
          <w:szCs w:val="20"/>
        </w:rPr>
        <w:t>валідаційними</w:t>
      </w:r>
      <w:proofErr w:type="spellEnd"/>
      <w:r w:rsidRPr="00077903">
        <w:rPr>
          <w:rFonts w:ascii="Times New Roman" w:eastAsia="Calibri" w:hAnsi="Times New Roman"/>
          <w:bCs/>
          <w:iCs/>
          <w:szCs w:val="20"/>
        </w:rPr>
        <w:t xml:space="preserve"> характеристиками методика коректна та може бути відтворена в інших лабораторіях.</w:t>
      </w:r>
    </w:p>
    <w:p w:rsidR="001D0752" w:rsidRPr="001D0752" w:rsidRDefault="001D0752" w:rsidP="001D0752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>Супозиторії є однією з лікарських форм, що найчастіше застосовуються, їх використовують при лікуванні захворювань урологічного, гінекологічног</w:t>
      </w:r>
      <w:r>
        <w:rPr>
          <w:rFonts w:ascii="Times New Roman" w:hAnsi="Times New Roman"/>
          <w:sz w:val="28"/>
          <w:szCs w:val="28"/>
        </w:rPr>
        <w:t>о, проктологічного профілю тощо</w:t>
      </w:r>
      <w:r w:rsidRPr="001D0752">
        <w:rPr>
          <w:rFonts w:ascii="Times New Roman" w:hAnsi="Times New Roman"/>
          <w:sz w:val="28"/>
          <w:szCs w:val="28"/>
        </w:rPr>
        <w:t>. Це пояснюється їх позитивними властивостями, відсутністю негативних ефектів, характерних для пероральних та ін’єкційних лікарських форм (</w:t>
      </w:r>
      <w:proofErr w:type="spellStart"/>
      <w:r w:rsidRPr="001D0752">
        <w:rPr>
          <w:rFonts w:ascii="Times New Roman" w:hAnsi="Times New Roman"/>
          <w:sz w:val="28"/>
          <w:szCs w:val="28"/>
        </w:rPr>
        <w:t>інактивування</w:t>
      </w:r>
      <w:proofErr w:type="spellEnd"/>
      <w:r w:rsidRPr="001D0752">
        <w:rPr>
          <w:rFonts w:ascii="Times New Roman" w:hAnsi="Times New Roman"/>
          <w:sz w:val="28"/>
          <w:szCs w:val="28"/>
        </w:rPr>
        <w:t xml:space="preserve"> ферментами травних соків, несприятливий вплив на шлунково-кишковий тракт і печінку), нижчим рівнем алергічних реакцій та ризиком інфекційних ускладнень, практично відсутністю стресового викиду гормонів, незмінністю показників гемодинаміки тощо, що робить перспективними їх подальше застосування в педіатрії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752">
        <w:rPr>
          <w:rFonts w:ascii="Times New Roman" w:hAnsi="Times New Roman"/>
          <w:sz w:val="28"/>
          <w:szCs w:val="28"/>
        </w:rPr>
        <w:t>та геріатрії, психіатрії,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752">
        <w:rPr>
          <w:rFonts w:ascii="Times New Roman" w:hAnsi="Times New Roman"/>
          <w:sz w:val="28"/>
          <w:szCs w:val="28"/>
        </w:rPr>
        <w:t xml:space="preserve">також при серцево-судинній патології і </w:t>
      </w:r>
      <w:r>
        <w:rPr>
          <w:rFonts w:ascii="Times New Roman" w:hAnsi="Times New Roman"/>
          <w:sz w:val="28"/>
          <w:szCs w:val="28"/>
        </w:rPr>
        <w:t>захворюваннях органів травлення</w:t>
      </w:r>
      <w:r w:rsidRPr="001D0752">
        <w:rPr>
          <w:rFonts w:ascii="Times New Roman" w:hAnsi="Times New Roman"/>
          <w:sz w:val="28"/>
          <w:szCs w:val="28"/>
        </w:rPr>
        <w:t>.</w:t>
      </w:r>
    </w:p>
    <w:p w:rsidR="001D0752" w:rsidRPr="001D0752" w:rsidRDefault="001D0752" w:rsidP="001D0752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 xml:space="preserve">Актуальними на сьогодні є аналіз асортименту </w:t>
      </w:r>
      <w:proofErr w:type="spellStart"/>
      <w:r w:rsidRPr="001D0752">
        <w:rPr>
          <w:rFonts w:ascii="Times New Roman" w:hAnsi="Times New Roman"/>
          <w:sz w:val="28"/>
          <w:szCs w:val="28"/>
        </w:rPr>
        <w:t>супозиторних</w:t>
      </w:r>
      <w:proofErr w:type="spellEnd"/>
      <w:r w:rsidRPr="001D0752">
        <w:rPr>
          <w:rFonts w:ascii="Times New Roman" w:hAnsi="Times New Roman"/>
          <w:sz w:val="28"/>
          <w:szCs w:val="28"/>
        </w:rPr>
        <w:t xml:space="preserve"> ЛП та пропозицій фірм</w:t>
      </w:r>
      <w:r w:rsidR="00FE03F9">
        <w:rPr>
          <w:rFonts w:ascii="Times New Roman" w:hAnsi="Times New Roman"/>
          <w:sz w:val="28"/>
          <w:szCs w:val="28"/>
        </w:rPr>
        <w:t xml:space="preserve"> </w:t>
      </w:r>
      <w:r w:rsidRPr="001D0752">
        <w:rPr>
          <w:rFonts w:ascii="Times New Roman" w:hAnsi="Times New Roman"/>
          <w:sz w:val="28"/>
          <w:szCs w:val="28"/>
        </w:rPr>
        <w:t xml:space="preserve">виробників, розширення номенклатури основ-носіїв, дослідження обмежень застосування даного лікарського засобу в педіатричній практиці. Сучасний стан фармацевтичного ринку України встановлює підвищені вимоги до фахівців, які працюють з лікарськими препаратами. Це стосується, насамперед, інформації про асортимент лікарських препаратів на </w:t>
      </w:r>
      <w:r w:rsidRPr="001D0752">
        <w:rPr>
          <w:rFonts w:ascii="Times New Roman" w:hAnsi="Times New Roman"/>
          <w:sz w:val="28"/>
          <w:szCs w:val="28"/>
        </w:rPr>
        <w:lastRenderedPageBreak/>
        <w:t>ринку, їх ефективність, особливості використання та вікові обмеження</w:t>
      </w:r>
      <w:r>
        <w:rPr>
          <w:rFonts w:ascii="Times New Roman" w:hAnsi="Times New Roman"/>
          <w:sz w:val="28"/>
          <w:szCs w:val="28"/>
        </w:rPr>
        <w:t xml:space="preserve"> щодо застосування супозиторіїв</w:t>
      </w:r>
      <w:r w:rsidRPr="001D0752">
        <w:rPr>
          <w:rFonts w:ascii="Times New Roman" w:hAnsi="Times New Roman"/>
          <w:sz w:val="28"/>
          <w:szCs w:val="28"/>
        </w:rPr>
        <w:t>.</w:t>
      </w:r>
    </w:p>
    <w:p w:rsidR="001D0752" w:rsidRPr="001D0752" w:rsidRDefault="001D0752" w:rsidP="001D0752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>Аналіз фармацевтичного ринку ректальних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752">
        <w:rPr>
          <w:rFonts w:ascii="Times New Roman" w:hAnsi="Times New Roman"/>
          <w:sz w:val="28"/>
          <w:szCs w:val="28"/>
        </w:rPr>
        <w:t>супозиторних</w:t>
      </w:r>
      <w:proofErr w:type="spellEnd"/>
      <w:r w:rsidRPr="001D0752">
        <w:rPr>
          <w:rFonts w:ascii="Times New Roman" w:hAnsi="Times New Roman"/>
          <w:sz w:val="28"/>
          <w:szCs w:val="28"/>
        </w:rPr>
        <w:t xml:space="preserve"> лікарських засобів станом на 01вересня 2020 р. показав, що в Україні зареєстровано 145 найменування, з них 32,4% (47ЛЗ) іноземного та 67,6% (98ЛЗ) – вітчизняного виробництва, з них у педіатрії зареєстровано 18 найменувань.</w:t>
      </w:r>
    </w:p>
    <w:p w:rsidR="001D0752" w:rsidRPr="001D0752" w:rsidRDefault="001D0752" w:rsidP="001D0752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 xml:space="preserve">50 фармацевтичних компаній з 23 країн світу поставляють </w:t>
      </w:r>
      <w:proofErr w:type="spellStart"/>
      <w:r w:rsidRPr="001D0752">
        <w:rPr>
          <w:rFonts w:ascii="Times New Roman" w:hAnsi="Times New Roman"/>
          <w:sz w:val="28"/>
          <w:szCs w:val="28"/>
        </w:rPr>
        <w:t>супозиторні</w:t>
      </w:r>
      <w:proofErr w:type="spellEnd"/>
      <w:r w:rsidRPr="001D0752">
        <w:rPr>
          <w:rFonts w:ascii="Times New Roman" w:hAnsi="Times New Roman"/>
          <w:sz w:val="28"/>
          <w:szCs w:val="28"/>
        </w:rPr>
        <w:t xml:space="preserve"> ЛЗ на фармацевтичний ринок України. Лідерами є:</w:t>
      </w:r>
    </w:p>
    <w:p w:rsidR="001D0752" w:rsidRPr="001D0752" w:rsidRDefault="001D0752" w:rsidP="001D075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>Німеччина (11 фірм);</w:t>
      </w:r>
    </w:p>
    <w:p w:rsidR="001D0752" w:rsidRPr="001D0752" w:rsidRDefault="001D0752" w:rsidP="001D075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>Франція (6 фірм);</w:t>
      </w:r>
    </w:p>
    <w:p w:rsidR="001D0752" w:rsidRPr="001D0752" w:rsidRDefault="001D0752" w:rsidP="001D075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>Італія (5 фірм);</w:t>
      </w:r>
    </w:p>
    <w:p w:rsidR="001D0752" w:rsidRPr="001D0752" w:rsidRDefault="001D0752" w:rsidP="001D075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>Швейцарія (4 фірми);</w:t>
      </w:r>
    </w:p>
    <w:p w:rsidR="001D0752" w:rsidRDefault="001D0752" w:rsidP="001D075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>Україна (4 фірми) 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1D0752">
        <w:rPr>
          <w:rFonts w:ascii="Times New Roman" w:hAnsi="Times New Roman"/>
        </w:rPr>
        <w:t>На сьогодні в Україні лише 4 фармацевтичних заводи випускають супозиторії: ТОВ «</w:t>
      </w:r>
      <w:proofErr w:type="spellStart"/>
      <w:r w:rsidRPr="001D0752">
        <w:rPr>
          <w:rFonts w:ascii="Times New Roman" w:hAnsi="Times New Roman"/>
        </w:rPr>
        <w:t>Фармекс</w:t>
      </w:r>
      <w:proofErr w:type="spellEnd"/>
      <w:r w:rsidRPr="001D0752">
        <w:rPr>
          <w:rFonts w:ascii="Times New Roman" w:hAnsi="Times New Roman"/>
        </w:rPr>
        <w:t xml:space="preserve"> Груп», ПАТ «</w:t>
      </w:r>
      <w:proofErr w:type="spellStart"/>
      <w:r w:rsidRPr="001D0752">
        <w:rPr>
          <w:rFonts w:ascii="Times New Roman" w:hAnsi="Times New Roman"/>
        </w:rPr>
        <w:t>ЛекхімХарків</w:t>
      </w:r>
      <w:proofErr w:type="spellEnd"/>
      <w:r w:rsidRPr="001D0752">
        <w:rPr>
          <w:rFonts w:ascii="Times New Roman" w:hAnsi="Times New Roman"/>
        </w:rPr>
        <w:t>», ТОВ «</w:t>
      </w:r>
      <w:proofErr w:type="spellStart"/>
      <w:r w:rsidRPr="001D0752">
        <w:rPr>
          <w:rFonts w:ascii="Times New Roman" w:hAnsi="Times New Roman"/>
        </w:rPr>
        <w:t>НВК«І</w:t>
      </w:r>
      <w:r>
        <w:rPr>
          <w:rFonts w:ascii="Times New Roman" w:hAnsi="Times New Roman"/>
        </w:rPr>
        <w:t>терфармбіотек</w:t>
      </w:r>
      <w:proofErr w:type="spellEnd"/>
      <w:r>
        <w:rPr>
          <w:rFonts w:ascii="Times New Roman" w:hAnsi="Times New Roman"/>
        </w:rPr>
        <w:t>» і ПАТ «</w:t>
      </w:r>
      <w:proofErr w:type="spellStart"/>
      <w:r>
        <w:rPr>
          <w:rFonts w:ascii="Times New Roman" w:hAnsi="Times New Roman"/>
        </w:rPr>
        <w:t>Монфарм</w:t>
      </w:r>
      <w:proofErr w:type="spellEnd"/>
      <w:r>
        <w:rPr>
          <w:rFonts w:ascii="Times New Roman" w:hAnsi="Times New Roman"/>
        </w:rPr>
        <w:t>»</w:t>
      </w:r>
      <w:r w:rsidRPr="001D0752">
        <w:rPr>
          <w:rFonts w:ascii="Times New Roman" w:hAnsi="Times New Roman"/>
        </w:rPr>
        <w:t>.</w:t>
      </w:r>
    </w:p>
    <w:p w:rsidR="00927C4F" w:rsidRPr="001D0752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1D0752">
        <w:rPr>
          <w:rFonts w:ascii="Times New Roman" w:hAnsi="Times New Roman"/>
        </w:rPr>
        <w:t>Відповідно до терапевтичної класифікаційної системи АТС (</w:t>
      </w:r>
      <w:proofErr w:type="spellStart"/>
      <w:r w:rsidRPr="001D0752">
        <w:rPr>
          <w:rFonts w:ascii="Times New Roman" w:hAnsi="Times New Roman"/>
        </w:rPr>
        <w:t>Anatomical</w:t>
      </w:r>
      <w:proofErr w:type="spellEnd"/>
      <w:r w:rsidR="00FE03F9">
        <w:rPr>
          <w:rFonts w:ascii="Times New Roman" w:hAnsi="Times New Roman"/>
        </w:rPr>
        <w:t xml:space="preserve"> </w:t>
      </w:r>
      <w:proofErr w:type="spellStart"/>
      <w:r w:rsidRPr="001D0752">
        <w:rPr>
          <w:rFonts w:ascii="Times New Roman" w:hAnsi="Times New Roman"/>
        </w:rPr>
        <w:t>Therapeutic</w:t>
      </w:r>
      <w:proofErr w:type="spellEnd"/>
      <w:r w:rsidR="00FE03F9">
        <w:rPr>
          <w:rFonts w:ascii="Times New Roman" w:hAnsi="Times New Roman"/>
        </w:rPr>
        <w:t xml:space="preserve"> </w:t>
      </w:r>
      <w:proofErr w:type="spellStart"/>
      <w:r w:rsidRPr="001D0752">
        <w:rPr>
          <w:rFonts w:ascii="Times New Roman" w:hAnsi="Times New Roman"/>
        </w:rPr>
        <w:t>Chemical</w:t>
      </w:r>
      <w:proofErr w:type="spellEnd"/>
      <w:r w:rsidRPr="001D0752">
        <w:rPr>
          <w:rFonts w:ascii="Times New Roman" w:hAnsi="Times New Roman"/>
        </w:rPr>
        <w:t>) в асортименті супозиторіїв переважають препарати групи С05АХ03 (Інші засоби для лікування геморою та анальних тріщин для місцевого застосування; Інші препарати, комбінації) – 17 найменувань, N02BE01 (Парацетамол) – 8 найменувань та A06AX01 (</w:t>
      </w:r>
      <w:proofErr w:type="spellStart"/>
      <w:r w:rsidRPr="001D0752">
        <w:rPr>
          <w:rFonts w:ascii="Times New Roman" w:hAnsi="Times New Roman"/>
        </w:rPr>
        <w:t>Гліцерол</w:t>
      </w:r>
      <w:proofErr w:type="spellEnd"/>
      <w:r w:rsidRPr="001D0752">
        <w:rPr>
          <w:rFonts w:ascii="Times New Roman" w:hAnsi="Times New Roman"/>
        </w:rPr>
        <w:t>) – 10 найменувань.</w:t>
      </w:r>
    </w:p>
    <w:p w:rsidR="001D0752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1D0752">
        <w:rPr>
          <w:rFonts w:ascii="Times New Roman" w:hAnsi="Times New Roman"/>
        </w:rPr>
        <w:t xml:space="preserve">За терапевтичною дією, промисловістю виготовляється 31,7% супозиторіїв з лікарськими засобами місцевої дії і 68,3% – загальної дії; частка </w:t>
      </w:r>
      <w:proofErr w:type="spellStart"/>
      <w:r w:rsidRPr="001D0752">
        <w:rPr>
          <w:rFonts w:ascii="Times New Roman" w:hAnsi="Times New Roman"/>
        </w:rPr>
        <w:t>протигеморойних</w:t>
      </w:r>
      <w:proofErr w:type="spellEnd"/>
      <w:r w:rsidRPr="001D0752">
        <w:rPr>
          <w:rFonts w:ascii="Times New Roman" w:hAnsi="Times New Roman"/>
        </w:rPr>
        <w:t xml:space="preserve"> ЛЗ складає 16,8%, знеболюючих та жарознижуючих – 15,8%, проносних – 14,9%, антисептичних 10,9%, </w:t>
      </w:r>
      <w:proofErr w:type="spellStart"/>
      <w:r w:rsidRPr="001D0752">
        <w:rPr>
          <w:rFonts w:ascii="Times New Roman" w:hAnsi="Times New Roman"/>
        </w:rPr>
        <w:t>імуномодулюючих</w:t>
      </w:r>
      <w:proofErr w:type="spellEnd"/>
      <w:r w:rsidRPr="001D0752">
        <w:rPr>
          <w:rFonts w:ascii="Times New Roman" w:hAnsi="Times New Roman"/>
        </w:rPr>
        <w:t xml:space="preserve"> – 9,9%, репаративних – 6,9%, контрацептивних – 5,9%, протигрибкових – 5%, гомеопатичних, гормональних, місцево-анестезуючих, засоби, що використовуються при захворюваннях передміхурової залози – по 3%, </w:t>
      </w:r>
      <w:proofErr w:type="spellStart"/>
      <w:r w:rsidRPr="001D0752">
        <w:rPr>
          <w:rFonts w:ascii="Times New Roman" w:hAnsi="Times New Roman"/>
        </w:rPr>
        <w:t>спазмолітичної</w:t>
      </w:r>
      <w:proofErr w:type="spellEnd"/>
      <w:r w:rsidRPr="001D0752">
        <w:rPr>
          <w:rFonts w:ascii="Times New Roman" w:hAnsi="Times New Roman"/>
        </w:rPr>
        <w:t xml:space="preserve"> дії – 2%</w:t>
      </w:r>
    </w:p>
    <w:p w:rsidR="001D0752" w:rsidRPr="00077903" w:rsidRDefault="001D0752" w:rsidP="001D075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903">
        <w:rPr>
          <w:rFonts w:ascii="Times New Roman" w:hAnsi="Times New Roman"/>
          <w:sz w:val="28"/>
          <w:szCs w:val="28"/>
        </w:rPr>
        <w:lastRenderedPageBreak/>
        <w:t>Проаналізувавши літературні дані визначено, що для дітей потребує особливої уваги розробка лікарської форми. Часто застосовувані у педіатрії такі лікарські форми – пероральні розчини та супозиторії. Перспективною лікарською формою для дітей є супозиторії, їх основні переваги полягають у швидкому надходженні лікарських речовин до великого кола кровообігу при відсутності травмування шлунково-кишкового тракту і печінки; значне зниження алергічних проявів у відповідь на ректальне введення препарату; відсутність проблеми смаку, запаху ліків, можливість призначення лікарських речовин різних фармакологічних груп з різноманітними фізико-хімічними властивостями; простота і безболісність введення.</w:t>
      </w:r>
    </w:p>
    <w:p w:rsidR="001D0752" w:rsidRPr="00077903" w:rsidRDefault="001D0752" w:rsidP="001D075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903">
        <w:rPr>
          <w:rFonts w:ascii="Times New Roman" w:hAnsi="Times New Roman"/>
          <w:sz w:val="28"/>
          <w:szCs w:val="28"/>
        </w:rPr>
        <w:t>Досліджено, що у педіатричній практиці парацетамол залишається  золотим стандартом лікування</w:t>
      </w:r>
      <w:r w:rsidRPr="00077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зниження температури тіла у дітей. Вибір лікарської форми, як супозиторії, особливо обґрунтовано у випадках, к</w:t>
      </w:r>
      <w:r w:rsidRPr="00077903">
        <w:rPr>
          <w:rFonts w:ascii="Times New Roman" w:hAnsi="Times New Roman"/>
          <w:color w:val="000000"/>
          <w:sz w:val="28"/>
          <w:szCs w:val="28"/>
        </w:rPr>
        <w:t>оли у дитини підвищення температури тіла супроводжується ознаками інтоксикації (відмова від їжі, пиття, надмірна сонливість, блювання) та/або пероральна доставка лікарського засобу неможлива. Тому і надалі залишається актуальним виробництво супозиторіїв з парацетамолом.</w:t>
      </w:r>
    </w:p>
    <w:p w:rsidR="001D0752" w:rsidRPr="00077903" w:rsidRDefault="001D0752" w:rsidP="001D075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6"/>
          <w:szCs w:val="28"/>
        </w:rPr>
      </w:pPr>
      <w:r w:rsidRPr="00077903">
        <w:rPr>
          <w:rFonts w:ascii="Times New Roman" w:hAnsi="Times New Roman"/>
          <w:sz w:val="28"/>
        </w:rPr>
        <w:t>Вивчення вимог ДФУ та USP дозволило виявити певні розбіжності у підході до контролю якості супозиторіїв, що є цікавим як при розробці методів контролю якості для нових препаратів у формі супозиторіїв, так і в теоретичному порівнянні і впровадженні удосконалених вимог до якості даної лікарської форми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077903">
        <w:rPr>
          <w:rFonts w:ascii="Times New Roman" w:hAnsi="Times New Roman"/>
        </w:rPr>
        <w:t>На основі</w:t>
      </w:r>
      <w:r w:rsidR="00F0743D" w:rsidRPr="00F0743D">
        <w:rPr>
          <w:rFonts w:ascii="Times New Roman" w:hAnsi="Times New Roman"/>
        </w:rPr>
        <w:t xml:space="preserve"> </w:t>
      </w:r>
      <w:r w:rsidRPr="00077903">
        <w:rPr>
          <w:rFonts w:ascii="Times New Roman" w:hAnsi="Times New Roman"/>
        </w:rPr>
        <w:t xml:space="preserve">аналізу сучасних тенденцій можна прогнозувати перспективні напрямки розвитку </w:t>
      </w:r>
      <w:proofErr w:type="spellStart"/>
      <w:r w:rsidRPr="00077903">
        <w:rPr>
          <w:rFonts w:ascii="Times New Roman" w:hAnsi="Times New Roman"/>
        </w:rPr>
        <w:t>супозиторних</w:t>
      </w:r>
      <w:proofErr w:type="spellEnd"/>
      <w:r w:rsidRPr="00077903">
        <w:rPr>
          <w:rFonts w:ascii="Times New Roman" w:hAnsi="Times New Roman"/>
        </w:rPr>
        <w:t xml:space="preserve"> лікарських форм: виявлення біохімічних процесів, що відбуваються під час дії лікарського засобу; створення лікарських форм із контрольованим вивільненням інгредієнтів, </w:t>
      </w:r>
      <w:r w:rsidRPr="00077903">
        <w:t>вибір</w:t>
      </w:r>
      <w:r w:rsidRPr="00077903">
        <w:rPr>
          <w:rFonts w:ascii="Times New Roman" w:hAnsi="Times New Roman"/>
        </w:rPr>
        <w:t xml:space="preserve"> </w:t>
      </w:r>
      <w:proofErr w:type="spellStart"/>
      <w:r w:rsidRPr="00077903">
        <w:rPr>
          <w:rFonts w:ascii="Times New Roman" w:hAnsi="Times New Roman"/>
        </w:rPr>
        <w:t>супозиторн</w:t>
      </w:r>
      <w:r w:rsidRPr="00077903">
        <w:t>ої</w:t>
      </w:r>
      <w:proofErr w:type="spellEnd"/>
      <w:r w:rsidRPr="00077903">
        <w:rPr>
          <w:rFonts w:ascii="Times New Roman" w:hAnsi="Times New Roman"/>
        </w:rPr>
        <w:t xml:space="preserve"> основ</w:t>
      </w:r>
      <w:r w:rsidRPr="00077903">
        <w:t>и</w:t>
      </w:r>
      <w:r w:rsidRPr="00077903">
        <w:rPr>
          <w:rFonts w:ascii="Times New Roman" w:hAnsi="Times New Roman"/>
        </w:rPr>
        <w:t>, враховуючи фізико-хімічні властивості й характерні особливості. На даний час активно проводяться дослідження зі створення нових основ із заданими властивостями.</w:t>
      </w:r>
    </w:p>
    <w:p w:rsidR="001D0752" w:rsidRPr="00077903" w:rsidRDefault="001D0752" w:rsidP="001D075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903">
        <w:rPr>
          <w:rFonts w:ascii="Times New Roman" w:hAnsi="Times New Roman"/>
          <w:color w:val="000000"/>
          <w:sz w:val="28"/>
          <w:szCs w:val="28"/>
        </w:rPr>
        <w:lastRenderedPageBreak/>
        <w:t>Тому розробки сучасних лікарських засобів повинні бути спрямовані на</w:t>
      </w:r>
      <w:r w:rsidR="00F0743D" w:rsidRPr="00F07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903">
        <w:rPr>
          <w:rFonts w:ascii="Times New Roman" w:hAnsi="Times New Roman"/>
          <w:color w:val="000000"/>
          <w:sz w:val="28"/>
          <w:szCs w:val="28"/>
        </w:rPr>
        <w:t>зменшення подразнюючої дії ректальних лікарських форм, а також на розробку нових якісних, безпечних та ефективних</w:t>
      </w:r>
      <w:r w:rsidR="00F0743D" w:rsidRPr="00F07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903">
        <w:rPr>
          <w:rFonts w:ascii="Times New Roman" w:hAnsi="Times New Roman"/>
          <w:color w:val="000000"/>
          <w:sz w:val="28"/>
          <w:szCs w:val="28"/>
        </w:rPr>
        <w:t>лікарських форм для дітей.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color w:val="000000"/>
          <w:szCs w:val="24"/>
        </w:rPr>
      </w:pPr>
      <w:r w:rsidRPr="001D0752">
        <w:rPr>
          <w:rFonts w:ascii="Times New Roman" w:hAnsi="Times New Roman"/>
          <w:b/>
          <w:color w:val="000000"/>
          <w:szCs w:val="24"/>
        </w:rPr>
        <w:t xml:space="preserve">Матеріали та методи дослідження. 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color w:val="000000"/>
          <w:szCs w:val="24"/>
        </w:rPr>
      </w:pPr>
      <w:r w:rsidRPr="001D0752">
        <w:rPr>
          <w:rFonts w:ascii="Times New Roman" w:hAnsi="Times New Roman"/>
          <w:color w:val="000000"/>
          <w:szCs w:val="24"/>
        </w:rPr>
        <w:t xml:space="preserve">Наважки субстанції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парацетамолу</w:t>
      </w:r>
      <w:proofErr w:type="spellEnd"/>
      <w:r w:rsidRPr="001D0752">
        <w:rPr>
          <w:rFonts w:ascii="Times New Roman" w:hAnsi="Times New Roman"/>
          <w:color w:val="000000"/>
          <w:szCs w:val="24"/>
        </w:rPr>
        <w:t>, стандартних зразків і реактивів зважували на аналітичних вагах «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Mettler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Toledo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XP105DR» (Швейцарія). Величину рН вимірювали рН-метром «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Mettler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Toledo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Seven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Multi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S40» (Швейцарія). У роботі застосували посуд класу А фірми «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Simax</w:t>
      </w:r>
      <w:proofErr w:type="spellEnd"/>
      <w:r w:rsidRPr="001D0752">
        <w:rPr>
          <w:rFonts w:ascii="Times New Roman" w:hAnsi="Times New Roman"/>
          <w:color w:val="000000"/>
          <w:szCs w:val="24"/>
        </w:rPr>
        <w:t>» (Чехія).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color w:val="000000"/>
          <w:szCs w:val="24"/>
        </w:rPr>
      </w:pPr>
      <w:r w:rsidRPr="001D0752">
        <w:rPr>
          <w:rFonts w:ascii="Times New Roman" w:hAnsi="Times New Roman"/>
          <w:color w:val="000000"/>
          <w:szCs w:val="24"/>
        </w:rPr>
        <w:t xml:space="preserve">Спектрофотометричні вимірювання проводили на спектрофотометрі UV VIS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Lambda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35 («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Perkin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Elmer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», USA) в кюветах </w:t>
      </w:r>
      <w:r w:rsidRPr="001D0752">
        <w:rPr>
          <w:rFonts w:ascii="Times New Roman" w:hAnsi="Times New Roman"/>
          <w:i/>
          <w:color w:val="000000"/>
          <w:szCs w:val="24"/>
        </w:rPr>
        <w:t>l</w:t>
      </w:r>
      <w:r w:rsidRPr="001D0752">
        <w:rPr>
          <w:rFonts w:ascii="Times New Roman" w:hAnsi="Times New Roman"/>
          <w:color w:val="000000"/>
          <w:szCs w:val="24"/>
        </w:rPr>
        <w:t xml:space="preserve">=1 см. Хроматографічні роботи виконали з застосуванням ВЕРХ системи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Separations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Module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Waters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2695 з УФ-детектором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Waters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2489.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color w:val="000000"/>
          <w:szCs w:val="24"/>
        </w:rPr>
      </w:pPr>
      <w:r w:rsidRPr="001D0752">
        <w:rPr>
          <w:rFonts w:ascii="Times New Roman" w:hAnsi="Times New Roman"/>
          <w:color w:val="000000"/>
          <w:szCs w:val="24"/>
        </w:rPr>
        <w:t xml:space="preserve"> В якості стандартного зразку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парацетамолу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(СЗ) використовували стандарт ЕР СRS, кат. № Р0300000, в якості стандартного зразку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Paracetamol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impurity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K (СЗ) використовували 4-амінофенол виробництва Sigma-Aldrich (Німеччина), кат. № A71328 із заявленим вмістом основної речовини 99,5% (GC). В якості плацебо супозиторіїв з парацетамолом застосовували твердий жир (суміш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тригліцеридів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С12-С18), марки Suppocire NAS 50 («Gattefosse», Франція).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color w:val="000000"/>
          <w:szCs w:val="24"/>
        </w:rPr>
      </w:pPr>
      <w:r w:rsidRPr="001D0752">
        <w:rPr>
          <w:rFonts w:ascii="Times New Roman" w:hAnsi="Times New Roman"/>
          <w:color w:val="000000"/>
          <w:szCs w:val="24"/>
        </w:rPr>
        <w:t xml:space="preserve">При вивченні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валідаційних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характеристик застосовували реактиви: вода очищена, яку отримали з установки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Milli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Q, виробництва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Millipore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Corporation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(Німеччина), натрію гідроксид Sigma-Aldrich, кат. № 06203, натрію 1-бутансульфонат Sigma-Aldrich, кат. № 19022-10G-F; етанол 96%, метанол Sigma-Aldrich (чистота 99.9%), мурашина кислота Sigma-Aldrich, кат. № 33015.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color w:val="000000"/>
          <w:szCs w:val="24"/>
        </w:rPr>
      </w:pPr>
      <w:r w:rsidRPr="001D0752">
        <w:rPr>
          <w:rFonts w:ascii="Times New Roman" w:hAnsi="Times New Roman"/>
          <w:color w:val="000000"/>
          <w:szCs w:val="24"/>
        </w:rPr>
        <w:t xml:space="preserve">Контрольовані </w:t>
      </w:r>
      <w:proofErr w:type="spellStart"/>
      <w:r w:rsidRPr="001D0752">
        <w:rPr>
          <w:rFonts w:ascii="Times New Roman" w:hAnsi="Times New Roman"/>
          <w:color w:val="000000"/>
          <w:szCs w:val="24"/>
        </w:rPr>
        <w:t>валідаційні</w:t>
      </w:r>
      <w:proofErr w:type="spellEnd"/>
      <w:r w:rsidRPr="001D0752">
        <w:rPr>
          <w:rFonts w:ascii="Times New Roman" w:hAnsi="Times New Roman"/>
          <w:color w:val="000000"/>
          <w:szCs w:val="24"/>
        </w:rPr>
        <w:t xml:space="preserve"> характеристики обрані відповідно до</w:t>
      </w:r>
      <w:r>
        <w:rPr>
          <w:rFonts w:ascii="Times New Roman" w:hAnsi="Times New Roman"/>
          <w:color w:val="000000"/>
          <w:szCs w:val="24"/>
        </w:rPr>
        <w:t xml:space="preserve"> вимог ДФУ та рекомендацій ICH</w:t>
      </w:r>
      <w:r w:rsidRPr="001D0752">
        <w:rPr>
          <w:rFonts w:ascii="Times New Roman" w:hAnsi="Times New Roman"/>
          <w:color w:val="000000"/>
          <w:szCs w:val="24"/>
        </w:rPr>
        <w:t xml:space="preserve">, а саме для методики 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кількісного визначення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парацетамолу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відвалідовано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характеристики: максимально допустима невизначеність результату аналізу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Δ</w:t>
      </w:r>
      <w:r w:rsidRPr="001D0752">
        <w:rPr>
          <w:rFonts w:ascii="Times New Roman" w:hAnsi="Times New Roman"/>
          <w:bCs/>
          <w:color w:val="000000"/>
          <w:szCs w:val="24"/>
          <w:vertAlign w:val="subscript"/>
        </w:rPr>
        <w:t>As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, невизначеність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пробопідготовки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Δ</w:t>
      </w:r>
      <w:r w:rsidRPr="001D0752">
        <w:rPr>
          <w:rFonts w:ascii="Times New Roman" w:hAnsi="Times New Roman"/>
          <w:bCs/>
          <w:color w:val="000000"/>
          <w:szCs w:val="24"/>
          <w:vertAlign w:val="subscript"/>
        </w:rPr>
        <w:t>SP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, специфічність, лінійність, діапазон застосування, правильність; методику визначення вмісту домішки граничним випробуванням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відвалідовано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за характеристиками максимально допустима невизначеність результату аналізу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lastRenderedPageBreak/>
        <w:t>Δ</w:t>
      </w:r>
      <w:r w:rsidRPr="001D0752">
        <w:rPr>
          <w:rFonts w:ascii="Times New Roman" w:hAnsi="Times New Roman"/>
          <w:bCs/>
          <w:color w:val="000000"/>
          <w:szCs w:val="24"/>
          <w:vertAlign w:val="subscript"/>
        </w:rPr>
        <w:t>As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, специфічність, межа кількісного визначення. </w:t>
      </w:r>
      <w:r w:rsidRPr="001D0752">
        <w:rPr>
          <w:rFonts w:ascii="Times New Roman" w:hAnsi="Times New Roman"/>
          <w:color w:val="000000"/>
          <w:szCs w:val="24"/>
        </w:rPr>
        <w:t>Розрахунки та статистичну обро</w:t>
      </w:r>
      <w:r>
        <w:rPr>
          <w:rFonts w:ascii="Times New Roman" w:hAnsi="Times New Roman"/>
          <w:color w:val="000000"/>
          <w:szCs w:val="24"/>
        </w:rPr>
        <w:t>бку проводили згідно вимог ДФУ</w:t>
      </w:r>
      <w:r w:rsidRPr="001D0752">
        <w:rPr>
          <w:rFonts w:ascii="Times New Roman" w:hAnsi="Times New Roman"/>
          <w:color w:val="000000"/>
          <w:szCs w:val="24"/>
        </w:rPr>
        <w:t>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color w:val="000000"/>
          <w:szCs w:val="24"/>
        </w:rPr>
      </w:pPr>
      <w:r w:rsidRPr="001D0752">
        <w:rPr>
          <w:rFonts w:ascii="Times New Roman" w:hAnsi="Times New Roman"/>
          <w:color w:val="000000"/>
          <w:szCs w:val="24"/>
        </w:rPr>
        <w:t xml:space="preserve"> Досліджували наступні методики: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color w:val="000000"/>
          <w:szCs w:val="24"/>
        </w:rPr>
        <w:t xml:space="preserve">Методика кількісного визначення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парацетамолу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у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супозиторіях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80 мг/доза методом спектрофотометрії.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i/>
          <w:color w:val="000000"/>
          <w:szCs w:val="24"/>
        </w:rPr>
        <w:t>Приготування розчину випробування</w:t>
      </w:r>
      <w:r w:rsidRPr="001D0752">
        <w:rPr>
          <w:rFonts w:ascii="Times New Roman" w:hAnsi="Times New Roman"/>
          <w:bCs/>
          <w:color w:val="000000"/>
          <w:szCs w:val="24"/>
        </w:rPr>
        <w:t>. До 1,250 г супозиторіїв додають 25,0 мл води очищеної та поміщають на водяну баню при температурі (37±5)° С до розплавлення основи. Витримують на водяній бані на протязі 5 хвилин при перемішуванні. Охолоджують на льодовій бані. Видаляють застиглий твердий жир та фільтрують водний шар крізь паперовий фільтр «синя стрічка», відкидаючи перші 5 мл фільтрату. До 1,0 мл отриманого розчину додають 25 мл 0,1 М розчину натрію гідроксиду і доводять об’єм розчину водою очищеною до 250,0 мл. До 10,0 мл отриманого розчину додають 2,5 мл 0,1 М розчину натрію гідроксиду та доводять об’єм розчину водою очищеною до 25,0 мл.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i/>
          <w:color w:val="000000"/>
          <w:szCs w:val="24"/>
        </w:rPr>
        <w:t>Приготування розчину порівняння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. 0,040 г СЗ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парацетамолу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розчиняють у воді очищеної і доводять тим самим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розчиником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до 25,0 мл. До 1,0 мл отриманого розчину додають 10 мл </w:t>
      </w:r>
      <w:smartTag w:uri="urn:schemas-microsoft-com:office:smarttags" w:element="metricconverter">
        <w:smartTagPr>
          <w:attr w:name="ProductID" w:val="0,1 М"/>
        </w:smartTagPr>
        <w:r w:rsidRPr="001D0752">
          <w:rPr>
            <w:rFonts w:ascii="Times New Roman" w:hAnsi="Times New Roman"/>
            <w:bCs/>
            <w:color w:val="000000"/>
            <w:szCs w:val="24"/>
          </w:rPr>
          <w:t>0,1 М</w:t>
        </w:r>
      </w:smartTag>
      <w:r w:rsidRPr="001D0752">
        <w:rPr>
          <w:rFonts w:ascii="Times New Roman" w:hAnsi="Times New Roman"/>
          <w:bCs/>
          <w:color w:val="000000"/>
          <w:szCs w:val="24"/>
        </w:rPr>
        <w:t xml:space="preserve"> розчину натрію гідроксиду і доводять об’єм розчину водою очищеною до 100,0 мл.  До 1,0 мл отриманого розчину додають 2,5 мл 0,1 М розчину натрію гідроксиду та доводять об’єм розчину водою очищеною до 25,0 мл.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i/>
          <w:color w:val="000000"/>
          <w:szCs w:val="24"/>
        </w:rPr>
        <w:t>Компенсаційний розчин</w:t>
      </w:r>
      <w:r w:rsidRPr="001D0752">
        <w:rPr>
          <w:rFonts w:ascii="Times New Roman" w:hAnsi="Times New Roman"/>
          <w:bCs/>
          <w:color w:val="000000"/>
          <w:szCs w:val="24"/>
        </w:rPr>
        <w:t>. 0,01 М розчину натрію гідроксиду.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color w:val="000000"/>
          <w:szCs w:val="24"/>
        </w:rPr>
        <w:t xml:space="preserve">Вимірюють оптичну густину випробувального розчину та розчину порівняння відносно компенсаційного розчину на спектрофотометрі при λ=257 нм у кюветі з товщиною шару 10 мм. Розраховують вміст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парацетамолу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в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супозиторіях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(m), в мг/г, за формулою згідно ДФУ 2.2.25.</w:t>
      </w:r>
      <w:r w:rsidRPr="001D0752">
        <w:rPr>
          <w:rFonts w:ascii="Times New Roman" w:hAnsi="Times New Roman"/>
          <w:color w:val="000000"/>
          <w:szCs w:val="24"/>
        </w:rPr>
        <w:t xml:space="preserve"> 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Вміст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парацетамолу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(С</w:t>
      </w:r>
      <w:r w:rsidRPr="001D0752">
        <w:rPr>
          <w:rFonts w:ascii="Times New Roman" w:hAnsi="Times New Roman"/>
          <w:bCs/>
          <w:color w:val="000000"/>
          <w:szCs w:val="24"/>
          <w:vertAlign w:val="subscript"/>
        </w:rPr>
        <w:t>8</w:t>
      </w:r>
      <w:r w:rsidRPr="001D0752">
        <w:rPr>
          <w:rFonts w:ascii="Times New Roman" w:hAnsi="Times New Roman"/>
          <w:bCs/>
          <w:color w:val="000000"/>
          <w:szCs w:val="24"/>
        </w:rPr>
        <w:t>Н</w:t>
      </w:r>
      <w:r w:rsidRPr="001D0752">
        <w:rPr>
          <w:rFonts w:ascii="Times New Roman" w:hAnsi="Times New Roman"/>
          <w:bCs/>
          <w:color w:val="000000"/>
          <w:szCs w:val="24"/>
          <w:vertAlign w:val="subscript"/>
        </w:rPr>
        <w:t>9</w:t>
      </w:r>
      <w:r w:rsidRPr="001D0752">
        <w:rPr>
          <w:rFonts w:ascii="Times New Roman" w:hAnsi="Times New Roman"/>
          <w:bCs/>
          <w:color w:val="000000"/>
          <w:szCs w:val="24"/>
        </w:rPr>
        <w:t>NО</w:t>
      </w:r>
      <w:r w:rsidRPr="001D0752">
        <w:rPr>
          <w:rFonts w:ascii="Times New Roman" w:hAnsi="Times New Roman"/>
          <w:bCs/>
          <w:color w:val="000000"/>
          <w:szCs w:val="24"/>
          <w:vertAlign w:val="subscript"/>
        </w:rPr>
        <w:t>2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) в одному супозиторії має бути від 76,0 до 84,0 мг в перерахунку на середню масу одного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супозиторію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>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color w:val="000000"/>
          <w:szCs w:val="24"/>
        </w:rPr>
        <w:t xml:space="preserve">Методика визначення 4-амінофенолу у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супозиторіях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80 мг/доза методом високоефективної рідинної хроматографії.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i/>
          <w:color w:val="000000"/>
          <w:szCs w:val="24"/>
        </w:rPr>
        <w:t>Приготування розчину випробування.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 До 4,70 г супозиторіїв додають 20 мл е</w:t>
      </w:r>
      <w:r w:rsidRPr="001D0752">
        <w:rPr>
          <w:rFonts w:ascii="Times New Roman" w:hAnsi="Times New Roman"/>
          <w:bCs/>
          <w:i/>
          <w:color w:val="000000"/>
          <w:szCs w:val="24"/>
        </w:rPr>
        <w:t xml:space="preserve">танолу Р </w:t>
      </w:r>
      <w:r w:rsidRPr="001D0752">
        <w:rPr>
          <w:rFonts w:ascii="Times New Roman" w:hAnsi="Times New Roman"/>
          <w:bCs/>
          <w:color w:val="000000"/>
          <w:szCs w:val="24"/>
        </w:rPr>
        <w:t>і 30мл</w:t>
      </w:r>
      <w:r w:rsidRPr="001D0752"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Pr="001D0752">
        <w:rPr>
          <w:rFonts w:ascii="Times New Roman" w:hAnsi="Times New Roman"/>
          <w:bCs/>
          <w:color w:val="000000"/>
          <w:szCs w:val="24"/>
        </w:rPr>
        <w:t>води очищеної</w:t>
      </w:r>
      <w:r w:rsidRPr="001D0752">
        <w:rPr>
          <w:rFonts w:ascii="Times New Roman" w:hAnsi="Times New Roman"/>
          <w:bCs/>
          <w:i/>
          <w:color w:val="000000"/>
          <w:szCs w:val="24"/>
        </w:rPr>
        <w:t>,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 нагрівають на водяній бані при </w:t>
      </w:r>
      <w:r w:rsidRPr="001D0752">
        <w:rPr>
          <w:rFonts w:ascii="Times New Roman" w:hAnsi="Times New Roman"/>
          <w:bCs/>
          <w:color w:val="000000"/>
          <w:szCs w:val="24"/>
        </w:rPr>
        <w:lastRenderedPageBreak/>
        <w:t>температурі (37±5)° С при перемішуванні до розплавлення основи.  Витримують на водяній бані при температурі (37±5)° С на протязі 10 хвилин при перемішуванні скляною паличкою. Охолоджують на льодовій бані. Видаляють застиглий твердий жир та фільтрують водний шар крізь паперовий фільтр «синя стрічка»,</w:t>
      </w:r>
      <w:r w:rsidRPr="001D0752">
        <w:rPr>
          <w:rFonts w:ascii="Times New Roman" w:hAnsi="Times New Roman"/>
          <w:color w:val="000000"/>
          <w:szCs w:val="24"/>
        </w:rPr>
        <w:t xml:space="preserve"> 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відкидаючи перші 3мл фільтрату. 5,0мл отриманого розчину доводять рухомою фазою в мірній колбі на 20мл до мітки. 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i/>
          <w:color w:val="000000"/>
          <w:szCs w:val="24"/>
        </w:rPr>
        <w:t>Приготування розчину порівняння</w:t>
      </w:r>
      <w:r w:rsidRPr="001D0752">
        <w:rPr>
          <w:rFonts w:ascii="Times New Roman" w:hAnsi="Times New Roman"/>
          <w:bCs/>
          <w:color w:val="000000"/>
          <w:szCs w:val="24"/>
        </w:rPr>
        <w:t>. 5 мг 4-амінофенолу розчиняють в метанолі та доводять об’єм розчину тим самим розчинником до 50,0мл. 1,0мл отриманого розчину доводять  рухомою фазою</w:t>
      </w:r>
      <w:r w:rsidRPr="001D0752">
        <w:rPr>
          <w:rFonts w:ascii="Times New Roman" w:hAnsi="Times New Roman"/>
          <w:bCs/>
          <w:i/>
          <w:color w:val="000000"/>
          <w:szCs w:val="24"/>
        </w:rPr>
        <w:t xml:space="preserve">   </w:t>
      </w:r>
      <w:r w:rsidRPr="001D0752">
        <w:rPr>
          <w:rFonts w:ascii="Times New Roman" w:hAnsi="Times New Roman"/>
          <w:bCs/>
          <w:color w:val="000000"/>
          <w:szCs w:val="24"/>
        </w:rPr>
        <w:t>в мірній колбі на 20мл до мітки.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i/>
          <w:color w:val="000000"/>
          <w:szCs w:val="24"/>
        </w:rPr>
        <w:t>Хроматографічні умови</w:t>
      </w:r>
      <w:r w:rsidRPr="001D0752">
        <w:rPr>
          <w:rFonts w:ascii="Times New Roman" w:hAnsi="Times New Roman"/>
          <w:bCs/>
          <w:color w:val="000000"/>
          <w:szCs w:val="24"/>
        </w:rPr>
        <w:t xml:space="preserve">: Хроматографічна колонка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Nucleosil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C18 розміром 250×4,6mm, заповнена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октадецилсилільним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сорбентом з розміром часток 10 мкм; Рухома фаза – 0,01М розчин натрію 1-бутансульфонату у суміші  мурашина кислота- метанол-вода очищена  Р (0,4:15:85, об/об/об); Швидкість потоку рухомої фази – 1,5мл/хв.; Температура термостату колонки – 25°С; Довжина хвилі детектування – 272нм; Об’єм інжекції – 20 мкл.</w:t>
      </w:r>
    </w:p>
    <w:p w:rsidR="001D0752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1D0752">
        <w:rPr>
          <w:rFonts w:ascii="Times New Roman" w:hAnsi="Times New Roman"/>
          <w:bCs/>
          <w:color w:val="000000"/>
          <w:szCs w:val="24"/>
        </w:rPr>
        <w:t xml:space="preserve">Для оцінювання вмісту домішки, площу піку, одержаного на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хроматограмі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випробовуваного розчину, порівнюють із площею піку, що одержана на </w:t>
      </w:r>
      <w:proofErr w:type="spellStart"/>
      <w:r w:rsidRPr="001D0752">
        <w:rPr>
          <w:rFonts w:ascii="Times New Roman" w:hAnsi="Times New Roman"/>
          <w:bCs/>
          <w:color w:val="000000"/>
          <w:szCs w:val="24"/>
        </w:rPr>
        <w:t>хроматограмі</w:t>
      </w:r>
      <w:proofErr w:type="spellEnd"/>
      <w:r w:rsidRPr="001D0752">
        <w:rPr>
          <w:rFonts w:ascii="Times New Roman" w:hAnsi="Times New Roman"/>
          <w:bCs/>
          <w:color w:val="000000"/>
          <w:szCs w:val="24"/>
        </w:rPr>
        <w:t xml:space="preserve"> розчину порівняння.  Вміст 4-амінофенолу для супозиторіїв має бути не більше 0,1 %.</w:t>
      </w:r>
    </w:p>
    <w:p w:rsidR="00FE03F9" w:rsidRPr="00FE03F9" w:rsidRDefault="00FE03F9" w:rsidP="001D0752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F9">
        <w:rPr>
          <w:rFonts w:ascii="Times New Roman" w:hAnsi="Times New Roman"/>
          <w:b/>
          <w:bCs/>
          <w:color w:val="000000"/>
          <w:szCs w:val="24"/>
        </w:rPr>
        <w:t>Результати досліджень.</w:t>
      </w:r>
    </w:p>
    <w:p w:rsidR="001D0752" w:rsidRPr="00077903" w:rsidRDefault="001D0752" w:rsidP="001D0752">
      <w:pPr>
        <w:pStyle w:val="a5"/>
        <w:tabs>
          <w:tab w:val="left" w:pos="241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903">
        <w:rPr>
          <w:rFonts w:ascii="Times New Roman" w:hAnsi="Times New Roman"/>
          <w:sz w:val="28"/>
          <w:szCs w:val="28"/>
        </w:rPr>
        <w:t>На підставі проведених фармако-технологічних досліджень було підтверджено вибір жирової основи - твердий жир Suppocire AP виробництва фірми «Gattefosse», Франція.</w:t>
      </w:r>
    </w:p>
    <w:p w:rsidR="001D0752" w:rsidRPr="001D0752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1D0752">
        <w:rPr>
          <w:rFonts w:ascii="Times New Roman" w:hAnsi="Times New Roman"/>
        </w:rPr>
        <w:t xml:space="preserve">Проведено дослідження </w:t>
      </w:r>
      <w:proofErr w:type="spellStart"/>
      <w:r w:rsidRPr="001D0752">
        <w:rPr>
          <w:rFonts w:ascii="Times New Roman" w:hAnsi="Times New Roman"/>
        </w:rPr>
        <w:t>валідаційних</w:t>
      </w:r>
      <w:proofErr w:type="spellEnd"/>
      <w:r w:rsidRPr="001D0752">
        <w:rPr>
          <w:rFonts w:ascii="Times New Roman" w:hAnsi="Times New Roman"/>
        </w:rPr>
        <w:t xml:space="preserve"> характеристик</w:t>
      </w:r>
      <w:r w:rsidR="00F0743D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Pr="001D0752">
        <w:rPr>
          <w:rFonts w:ascii="Times New Roman" w:hAnsi="Times New Roman"/>
        </w:rPr>
        <w:t xml:space="preserve">методики кількісного визначення </w:t>
      </w:r>
      <w:proofErr w:type="spellStart"/>
      <w:r w:rsidRPr="001D0752">
        <w:rPr>
          <w:rFonts w:ascii="Times New Roman" w:hAnsi="Times New Roman"/>
        </w:rPr>
        <w:t>парацетамолу</w:t>
      </w:r>
      <w:proofErr w:type="spellEnd"/>
      <w:r w:rsidRPr="001D0752">
        <w:rPr>
          <w:rFonts w:ascii="Times New Roman" w:hAnsi="Times New Roman"/>
        </w:rPr>
        <w:t xml:space="preserve"> та його основної домішки4-амінофенолав ректальних </w:t>
      </w:r>
      <w:proofErr w:type="spellStart"/>
      <w:r w:rsidRPr="001D0752">
        <w:rPr>
          <w:rFonts w:ascii="Times New Roman" w:hAnsi="Times New Roman"/>
        </w:rPr>
        <w:t>супозиторіях</w:t>
      </w:r>
      <w:proofErr w:type="spellEnd"/>
      <w:r w:rsidRPr="001D0752">
        <w:rPr>
          <w:rFonts w:ascii="Times New Roman" w:hAnsi="Times New Roman"/>
        </w:rPr>
        <w:t>.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077903">
        <w:rPr>
          <w:rFonts w:ascii="Times New Roman" w:hAnsi="Times New Roman"/>
        </w:rPr>
        <w:t xml:space="preserve">Визначені специфічність, лінійність, правильність, максимально допустима невизначеність результату аналізу </w:t>
      </w:r>
      <w:proofErr w:type="spellStart"/>
      <w:r w:rsidRPr="00077903">
        <w:rPr>
          <w:rFonts w:ascii="Times New Roman" w:hAnsi="Times New Roman"/>
        </w:rPr>
        <w:t>ΔAs</w:t>
      </w:r>
      <w:proofErr w:type="spellEnd"/>
      <w:r w:rsidRPr="00077903">
        <w:rPr>
          <w:rFonts w:ascii="Times New Roman" w:hAnsi="Times New Roman"/>
        </w:rPr>
        <w:t xml:space="preserve">, невизначеність </w:t>
      </w:r>
      <w:proofErr w:type="spellStart"/>
      <w:r w:rsidRPr="00077903">
        <w:rPr>
          <w:rFonts w:ascii="Times New Roman" w:hAnsi="Times New Roman"/>
        </w:rPr>
        <w:t>пробопідготовки</w:t>
      </w:r>
      <w:proofErr w:type="spellEnd"/>
      <w:r w:rsidRPr="00077903">
        <w:rPr>
          <w:rFonts w:ascii="Times New Roman" w:hAnsi="Times New Roman"/>
        </w:rPr>
        <w:t xml:space="preserve"> ΔSP, діапазон застосування, правильність  </w:t>
      </w:r>
      <w:proofErr w:type="spellStart"/>
      <w:r w:rsidRPr="00077903">
        <w:rPr>
          <w:rFonts w:ascii="Times New Roman" w:hAnsi="Times New Roman"/>
        </w:rPr>
        <w:t>методик</w:t>
      </w:r>
      <w:proofErr w:type="spellEnd"/>
      <w:r w:rsidRPr="00077903">
        <w:rPr>
          <w:rFonts w:ascii="Times New Roman" w:hAnsi="Times New Roman"/>
        </w:rPr>
        <w:t xml:space="preserve"> кількісного вмісту </w:t>
      </w:r>
      <w:proofErr w:type="spellStart"/>
      <w:r w:rsidRPr="00077903">
        <w:rPr>
          <w:rFonts w:ascii="Times New Roman" w:hAnsi="Times New Roman"/>
        </w:rPr>
        <w:t>парацетамолу</w:t>
      </w:r>
      <w:proofErr w:type="spellEnd"/>
      <w:r w:rsidRPr="00077903">
        <w:rPr>
          <w:rFonts w:ascii="Times New Roman" w:hAnsi="Times New Roman"/>
        </w:rPr>
        <w:t xml:space="preserve"> та домішки 4-амінофенола.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077903">
        <w:rPr>
          <w:rFonts w:ascii="Times New Roman" w:hAnsi="Times New Roman"/>
        </w:rPr>
        <w:lastRenderedPageBreak/>
        <w:t xml:space="preserve">Підтверджена лінійність для кількісного визначення вмісту </w:t>
      </w:r>
      <w:proofErr w:type="spellStart"/>
      <w:r w:rsidRPr="00077903">
        <w:rPr>
          <w:rFonts w:ascii="Times New Roman" w:hAnsi="Times New Roman"/>
        </w:rPr>
        <w:t>парацетамолу</w:t>
      </w:r>
      <w:proofErr w:type="spellEnd"/>
      <w:r w:rsidRPr="00077903">
        <w:rPr>
          <w:rFonts w:ascii="Times New Roman" w:hAnsi="Times New Roman"/>
        </w:rPr>
        <w:t xml:space="preserve"> в діапазоні</w:t>
      </w:r>
      <w:r w:rsidR="00FE03F9">
        <w:rPr>
          <w:rFonts w:ascii="Times New Roman" w:hAnsi="Times New Roman"/>
        </w:rPr>
        <w:t xml:space="preserve"> </w:t>
      </w:r>
      <w:r w:rsidRPr="00077903">
        <w:rPr>
          <w:rFonts w:ascii="Times New Roman" w:hAnsi="Times New Roman"/>
        </w:rPr>
        <w:t>від 80 до 120 % від номінального значення.</w:t>
      </w:r>
      <w:r w:rsidRPr="00077903">
        <w:rPr>
          <w:rFonts w:ascii="Times New Roman" w:hAnsi="Times New Roman"/>
          <w:bCs/>
          <w:color w:val="000000"/>
          <w:szCs w:val="24"/>
        </w:rPr>
        <w:t xml:space="preserve"> Доведено, що лінійність, точність і правильність визначення </w:t>
      </w:r>
      <w:proofErr w:type="spellStart"/>
      <w:r w:rsidRPr="00077903">
        <w:rPr>
          <w:rFonts w:ascii="Times New Roman" w:hAnsi="Times New Roman"/>
          <w:bCs/>
          <w:color w:val="000000"/>
          <w:szCs w:val="24"/>
        </w:rPr>
        <w:t>парацетамолу</w:t>
      </w:r>
      <w:proofErr w:type="spellEnd"/>
      <w:r w:rsidRPr="00077903">
        <w:rPr>
          <w:rFonts w:ascii="Times New Roman" w:hAnsi="Times New Roman"/>
          <w:bCs/>
          <w:color w:val="000000"/>
          <w:szCs w:val="24"/>
        </w:rPr>
        <w:t xml:space="preserve"> в зазначеному діапазоні прийнятна, методика кількісного визначення систематичною похибкою не обтяжена.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077903">
        <w:rPr>
          <w:rFonts w:ascii="Times New Roman" w:hAnsi="Times New Roman"/>
          <w:bCs/>
          <w:color w:val="000000"/>
          <w:szCs w:val="24"/>
        </w:rPr>
        <w:t xml:space="preserve">Проведено статистичну обробку експериментальних даних, коефіцієнт кореляції лінійної залежності (r) між введеними і знайденими значеннями для кількісного вмісту </w:t>
      </w:r>
      <w:proofErr w:type="spellStart"/>
      <w:r w:rsidRPr="00077903">
        <w:rPr>
          <w:rFonts w:ascii="Times New Roman" w:hAnsi="Times New Roman"/>
          <w:bCs/>
          <w:color w:val="000000"/>
          <w:szCs w:val="24"/>
        </w:rPr>
        <w:t>парацетамолу</w:t>
      </w:r>
      <w:proofErr w:type="spellEnd"/>
      <w:r w:rsidRPr="00077903">
        <w:rPr>
          <w:rFonts w:ascii="Times New Roman" w:hAnsi="Times New Roman"/>
          <w:bCs/>
          <w:color w:val="000000"/>
          <w:szCs w:val="24"/>
        </w:rPr>
        <w:t>, становить &gt;0,990, що свідчить про коректність методики.</w:t>
      </w:r>
    </w:p>
    <w:p w:rsidR="001D0752" w:rsidRPr="00077903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077903">
        <w:rPr>
          <w:rFonts w:ascii="Times New Roman" w:hAnsi="Times New Roman"/>
        </w:rPr>
        <w:t xml:space="preserve">Встановлено  межу виявлення 4-амінофенола, при якому виконується співвідношення сигнал/шум - 10% від вихідної концентрації розчину порівняння (0,5 </w:t>
      </w:r>
      <w:proofErr w:type="spellStart"/>
      <w:r w:rsidRPr="00077903">
        <w:rPr>
          <w:rFonts w:ascii="Times New Roman" w:hAnsi="Times New Roman"/>
        </w:rPr>
        <w:t>мкг</w:t>
      </w:r>
      <w:proofErr w:type="spellEnd"/>
      <w:r w:rsidRPr="00077903">
        <w:rPr>
          <w:rFonts w:ascii="Times New Roman" w:hAnsi="Times New Roman"/>
        </w:rPr>
        <w:t xml:space="preserve">/мл). </w:t>
      </w:r>
    </w:p>
    <w:p w:rsidR="001D0752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077903">
        <w:rPr>
          <w:rFonts w:ascii="Times New Roman" w:hAnsi="Times New Roman"/>
        </w:rPr>
        <w:t xml:space="preserve"> Всі контрольовані </w:t>
      </w:r>
      <w:proofErr w:type="spellStart"/>
      <w:r w:rsidRPr="00077903">
        <w:rPr>
          <w:rFonts w:ascii="Times New Roman" w:hAnsi="Times New Roman"/>
        </w:rPr>
        <w:t>валідаційні</w:t>
      </w:r>
      <w:proofErr w:type="spellEnd"/>
      <w:r w:rsidRPr="00077903">
        <w:rPr>
          <w:rFonts w:ascii="Times New Roman" w:hAnsi="Times New Roman"/>
        </w:rPr>
        <w:t xml:space="preserve"> характеристики відповідають критеріям прийнятності і можуть бути використані для контролю супозиторіїв з парацетамолом для застосування у педіатрії.</w:t>
      </w:r>
    </w:p>
    <w:p w:rsidR="001D0752" w:rsidRPr="00077903" w:rsidRDefault="001D0752" w:rsidP="001D0752">
      <w:pPr>
        <w:pStyle w:val="a5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7903">
        <w:rPr>
          <w:rFonts w:ascii="Times New Roman" w:hAnsi="Times New Roman"/>
          <w:sz w:val="28"/>
          <w:szCs w:val="28"/>
        </w:rPr>
        <w:t xml:space="preserve">Проведено огляд та визначено основне технологічне обладнання для виробництва супозиторіїв, яке </w:t>
      </w:r>
      <w:r w:rsidRPr="00077903">
        <w:rPr>
          <w:rFonts w:ascii="Times New Roman" w:hAnsi="Times New Roman"/>
          <w:bCs/>
          <w:iCs/>
          <w:sz w:val="28"/>
          <w:szCs w:val="28"/>
        </w:rPr>
        <w:t>гарантує високі показники якості готового продукту. Автоматизація лінії виробництва лікарського супозиторіїв, знижує ризик контамінації, зменшує частку ручної праці, час технологічного процесу.</w:t>
      </w:r>
    </w:p>
    <w:p w:rsidR="001D0752" w:rsidRPr="002C4C83" w:rsidRDefault="001D0752" w:rsidP="001D0752">
      <w:pPr>
        <w:spacing w:line="360" w:lineRule="auto"/>
        <w:ind w:firstLine="709"/>
        <w:rPr>
          <w:rFonts w:ascii="Times New Roman" w:hAnsi="Times New Roman"/>
          <w:bCs/>
          <w:iCs/>
          <w:color w:val="000000"/>
        </w:rPr>
      </w:pPr>
      <w:r w:rsidRPr="00077903">
        <w:rPr>
          <w:rFonts w:ascii="Times New Roman" w:hAnsi="Times New Roman"/>
        </w:rPr>
        <w:t xml:space="preserve">Наведена технологічна схема та опис технологічного процесу виробництва супозиторіїв з парацетамолом </w:t>
      </w:r>
      <w:r w:rsidRPr="00077903">
        <w:rPr>
          <w:rFonts w:ascii="Times New Roman" w:hAnsi="Times New Roman"/>
          <w:bCs/>
          <w:iCs/>
        </w:rPr>
        <w:t xml:space="preserve">дозволяє контролювати якісні та кількісні </w:t>
      </w:r>
      <w:r w:rsidRPr="002C4C83">
        <w:rPr>
          <w:rFonts w:ascii="Times New Roman" w:hAnsi="Times New Roman"/>
          <w:bCs/>
          <w:iCs/>
        </w:rPr>
        <w:t xml:space="preserve">показники до, під час та після процесу виробництва, </w:t>
      </w:r>
      <w:r w:rsidRPr="002C4C83">
        <w:rPr>
          <w:rFonts w:ascii="Times New Roman" w:hAnsi="Times New Roman"/>
          <w:bCs/>
          <w:iCs/>
          <w:color w:val="000000"/>
        </w:rPr>
        <w:t xml:space="preserve">дає змогу </w:t>
      </w:r>
      <w:proofErr w:type="spellStart"/>
      <w:r w:rsidRPr="002C4C83">
        <w:rPr>
          <w:rFonts w:ascii="Times New Roman" w:hAnsi="Times New Roman"/>
          <w:bCs/>
          <w:iCs/>
          <w:color w:val="000000"/>
        </w:rPr>
        <w:t>валідувати</w:t>
      </w:r>
      <w:proofErr w:type="spellEnd"/>
      <w:r w:rsidRPr="002C4C83">
        <w:rPr>
          <w:rFonts w:ascii="Times New Roman" w:hAnsi="Times New Roman"/>
          <w:bCs/>
          <w:iCs/>
          <w:color w:val="000000"/>
        </w:rPr>
        <w:t xml:space="preserve"> процес виробництва на всіх стадіях.</w:t>
      </w:r>
    </w:p>
    <w:p w:rsidR="001D0752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077903">
        <w:rPr>
          <w:rFonts w:ascii="Times New Roman" w:hAnsi="Times New Roman"/>
        </w:rPr>
        <w:t>Запропоновано специфікації</w:t>
      </w:r>
      <w:r>
        <w:rPr>
          <w:rFonts w:ascii="Times New Roman" w:hAnsi="Times New Roman"/>
        </w:rPr>
        <w:t xml:space="preserve"> вхідного</w:t>
      </w:r>
      <w:r w:rsidRPr="00077903">
        <w:rPr>
          <w:rFonts w:ascii="Times New Roman" w:hAnsi="Times New Roman"/>
        </w:rPr>
        <w:t xml:space="preserve"> контролю якості </w:t>
      </w:r>
      <w:proofErr w:type="spellStart"/>
      <w:r w:rsidRPr="00077903">
        <w:rPr>
          <w:rFonts w:ascii="Times New Roman" w:hAnsi="Times New Roman"/>
        </w:rPr>
        <w:t>парацетамолу</w:t>
      </w:r>
      <w:proofErr w:type="spellEnd"/>
      <w:r w:rsidRPr="00077903">
        <w:rPr>
          <w:rFonts w:ascii="Times New Roman" w:hAnsi="Times New Roman"/>
        </w:rPr>
        <w:t xml:space="preserve"> та допоміжної речовини – твердого жиру, які використовуються на виробництві супозиторіїв, їх допустимі норми та методи контролю.</w:t>
      </w:r>
    </w:p>
    <w:p w:rsidR="001D0752" w:rsidRPr="004361AA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4361AA">
        <w:rPr>
          <w:rFonts w:ascii="Times New Roman" w:hAnsi="Times New Roman"/>
          <w:b/>
          <w:bCs/>
        </w:rPr>
        <w:t>Опубліковані тези</w:t>
      </w:r>
    </w:p>
    <w:p w:rsidR="001D0752" w:rsidRPr="000E2A33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4361AA">
        <w:rPr>
          <w:rFonts w:ascii="Times New Roman" w:hAnsi="Times New Roman"/>
          <w:b/>
          <w:bCs/>
        </w:rPr>
        <w:t>“</w:t>
      </w:r>
      <w:r w:rsidRPr="000E2A33">
        <w:rPr>
          <w:rFonts w:ascii="Times New Roman" w:hAnsi="Times New Roman"/>
        </w:rPr>
        <w:t>Дослідження фармако-технологічних показників для вибору складу супозиторіїв аналгетичної і жарознижуючої дії</w:t>
      </w:r>
      <w:r w:rsidRPr="004361AA">
        <w:rPr>
          <w:rFonts w:ascii="Times New Roman" w:hAnsi="Times New Roman"/>
        </w:rPr>
        <w:t xml:space="preserve">” </w:t>
      </w:r>
      <w:r w:rsidRPr="000E2A33">
        <w:rPr>
          <w:rFonts w:ascii="Times New Roman" w:hAnsi="Times New Roman"/>
        </w:rPr>
        <w:t xml:space="preserve">в </w:t>
      </w:r>
      <w:r w:rsidRPr="004361AA">
        <w:rPr>
          <w:rFonts w:ascii="Times New Roman" w:hAnsi="Times New Roman"/>
        </w:rPr>
        <w:t>збірнику матеріалів ХІ</w:t>
      </w:r>
      <w:r w:rsidRPr="000E2A33">
        <w:rPr>
          <w:rFonts w:ascii="Times New Roman" w:hAnsi="Times New Roman"/>
          <w:lang w:val="ru-RU"/>
        </w:rPr>
        <w:t>V</w:t>
      </w:r>
      <w:r w:rsidRPr="004361AA">
        <w:rPr>
          <w:rFonts w:ascii="Times New Roman" w:hAnsi="Times New Roman"/>
        </w:rPr>
        <w:t xml:space="preserve"> науково-практичної конференції "Управління якістю в фармації"  (22.05.2020р.)</w:t>
      </w:r>
    </w:p>
    <w:p w:rsidR="001D0752" w:rsidRDefault="001D0752" w:rsidP="001D0752">
      <w:pPr>
        <w:spacing w:line="360" w:lineRule="auto"/>
        <w:ind w:firstLine="709"/>
        <w:rPr>
          <w:rFonts w:ascii="Times New Roman" w:hAnsi="Times New Roman"/>
        </w:rPr>
      </w:pPr>
      <w:r w:rsidRPr="00474ACA">
        <w:rPr>
          <w:rFonts w:ascii="Times New Roman" w:hAnsi="Times New Roman"/>
        </w:rPr>
        <w:lastRenderedPageBreak/>
        <w:t xml:space="preserve">Стаття на тему “Дослідження </w:t>
      </w:r>
      <w:proofErr w:type="spellStart"/>
      <w:r w:rsidRPr="00474ACA">
        <w:rPr>
          <w:rFonts w:ascii="Times New Roman" w:hAnsi="Times New Roman"/>
        </w:rPr>
        <w:t>валідаційних</w:t>
      </w:r>
      <w:proofErr w:type="spellEnd"/>
      <w:r w:rsidRPr="00474ACA">
        <w:rPr>
          <w:rFonts w:ascii="Times New Roman" w:hAnsi="Times New Roman"/>
        </w:rPr>
        <w:t xml:space="preserve"> характеристик методики кількісного визначення </w:t>
      </w:r>
      <w:proofErr w:type="spellStart"/>
      <w:r w:rsidRPr="00474ACA">
        <w:rPr>
          <w:rFonts w:ascii="Times New Roman" w:hAnsi="Times New Roman"/>
        </w:rPr>
        <w:t>парацетамолу</w:t>
      </w:r>
      <w:proofErr w:type="spellEnd"/>
      <w:r w:rsidRPr="00474ACA">
        <w:rPr>
          <w:rFonts w:ascii="Times New Roman" w:hAnsi="Times New Roman"/>
        </w:rPr>
        <w:t xml:space="preserve"> та його основної домішки в ректальних </w:t>
      </w:r>
      <w:proofErr w:type="spellStart"/>
      <w:r w:rsidRPr="00474ACA">
        <w:rPr>
          <w:rFonts w:ascii="Times New Roman" w:hAnsi="Times New Roman"/>
        </w:rPr>
        <w:t>супозиторіях</w:t>
      </w:r>
      <w:proofErr w:type="spellEnd"/>
      <w:r w:rsidRPr="00474ACA">
        <w:rPr>
          <w:rFonts w:ascii="Times New Roman" w:hAnsi="Times New Roman"/>
        </w:rPr>
        <w:t xml:space="preserve">” авторів: Салій О.О., </w:t>
      </w:r>
      <w:proofErr w:type="spellStart"/>
      <w:r w:rsidRPr="00474ACA">
        <w:rPr>
          <w:rFonts w:ascii="Times New Roman" w:hAnsi="Times New Roman"/>
        </w:rPr>
        <w:t>Кузьміної</w:t>
      </w:r>
      <w:proofErr w:type="spellEnd"/>
      <w:r w:rsidRPr="00474ACA">
        <w:rPr>
          <w:rFonts w:ascii="Times New Roman" w:hAnsi="Times New Roman"/>
        </w:rPr>
        <w:t xml:space="preserve"> Г.І.,</w:t>
      </w:r>
      <w:proofErr w:type="spellStart"/>
      <w:r w:rsidRPr="00474ACA">
        <w:rPr>
          <w:rFonts w:ascii="Times New Roman" w:hAnsi="Times New Roman"/>
        </w:rPr>
        <w:t>Фуклева</w:t>
      </w:r>
      <w:proofErr w:type="spellEnd"/>
      <w:r w:rsidRPr="00474ACA">
        <w:rPr>
          <w:rFonts w:ascii="Times New Roman" w:hAnsi="Times New Roman"/>
        </w:rPr>
        <w:t xml:space="preserve"> Л.А., Манацюк В.В. подана до наукового журналу  “Вісник Київського національного </w:t>
      </w:r>
      <w:proofErr w:type="spellStart"/>
      <w:r w:rsidRPr="00474ACA">
        <w:rPr>
          <w:rFonts w:ascii="Times New Roman" w:hAnsi="Times New Roman"/>
        </w:rPr>
        <w:t>універститету</w:t>
      </w:r>
      <w:proofErr w:type="spellEnd"/>
      <w:r w:rsidRPr="00474ACA">
        <w:rPr>
          <w:rFonts w:ascii="Times New Roman" w:hAnsi="Times New Roman"/>
        </w:rPr>
        <w:t xml:space="preserve"> технологій та дизайну”, яка буде опублікована  у</w:t>
      </w:r>
      <w:r>
        <w:rPr>
          <w:rFonts w:ascii="Times New Roman" w:hAnsi="Times New Roman"/>
        </w:rPr>
        <w:t xml:space="preserve"> </w:t>
      </w:r>
      <w:r w:rsidRPr="000E2A3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3 (146)2020 </w:t>
      </w:r>
      <w:r w:rsidRPr="000E2A33">
        <w:rPr>
          <w:rFonts w:ascii="Times New Roman" w:hAnsi="Times New Roman"/>
        </w:rPr>
        <w:t>року.</w:t>
      </w:r>
    </w:p>
    <w:p w:rsidR="001D0752" w:rsidRPr="00FE03F9" w:rsidRDefault="00FE03F9" w:rsidP="001D0752">
      <w:pPr>
        <w:spacing w:line="360" w:lineRule="auto"/>
        <w:ind w:firstLine="709"/>
        <w:rPr>
          <w:i/>
        </w:rPr>
      </w:pPr>
      <w:r w:rsidRPr="00FE03F9">
        <w:rPr>
          <w:rFonts w:ascii="Times New Roman" w:hAnsi="Times New Roman"/>
          <w:b/>
        </w:rPr>
        <w:t>Ключові слова:</w:t>
      </w:r>
      <w:r w:rsidRPr="00FE03F9">
        <w:rPr>
          <w:rFonts w:ascii="Times New Roman" w:hAnsi="Times New Roman"/>
          <w:i/>
        </w:rPr>
        <w:t xml:space="preserve"> </w:t>
      </w:r>
      <w:r w:rsidRPr="00FE03F9">
        <w:rPr>
          <w:rFonts w:ascii="Times New Roman" w:eastAsia="Calibri" w:hAnsi="Times New Roman"/>
          <w:i/>
          <w:szCs w:val="20"/>
        </w:rPr>
        <w:t xml:space="preserve">Парацетамол, 4-амінофенол, ректальні супозиторії, </w:t>
      </w:r>
      <w:proofErr w:type="spellStart"/>
      <w:r w:rsidRPr="00FE03F9">
        <w:rPr>
          <w:rFonts w:ascii="Times New Roman" w:eastAsia="Calibri" w:hAnsi="Times New Roman"/>
          <w:i/>
          <w:szCs w:val="20"/>
        </w:rPr>
        <w:t>валідаційні</w:t>
      </w:r>
      <w:proofErr w:type="spellEnd"/>
      <w:r w:rsidRPr="00FE03F9">
        <w:rPr>
          <w:rFonts w:ascii="Times New Roman" w:eastAsia="Calibri" w:hAnsi="Times New Roman"/>
          <w:i/>
          <w:szCs w:val="20"/>
        </w:rPr>
        <w:t xml:space="preserve"> характеристики, кількісне визначення, домішки.</w:t>
      </w:r>
    </w:p>
    <w:sectPr w:rsidR="001D0752" w:rsidRPr="00FE03F9" w:rsidSect="00927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25BE"/>
    <w:multiLevelType w:val="hybridMultilevel"/>
    <w:tmpl w:val="2152960C"/>
    <w:lvl w:ilvl="0" w:tplc="06BCB466">
      <w:start w:val="50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D8911E2"/>
    <w:multiLevelType w:val="hybridMultilevel"/>
    <w:tmpl w:val="86920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80274"/>
    <w:multiLevelType w:val="hybridMultilevel"/>
    <w:tmpl w:val="85441FC2"/>
    <w:lvl w:ilvl="0" w:tplc="F9060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752"/>
    <w:rsid w:val="001D0752"/>
    <w:rsid w:val="00291598"/>
    <w:rsid w:val="00394F8C"/>
    <w:rsid w:val="006B4C0C"/>
    <w:rsid w:val="006D1190"/>
    <w:rsid w:val="00927C4F"/>
    <w:rsid w:val="00A80D9E"/>
    <w:rsid w:val="00F0743D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3EC39"/>
  <w15:docId w15:val="{C31BEA81-1E7F-44AB-A044-A5A3C560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52"/>
    <w:pPr>
      <w:spacing w:line="240" w:lineRule="auto"/>
      <w:ind w:firstLine="0"/>
    </w:pPr>
    <w:rPr>
      <w:rFonts w:ascii="Times New Roman CYR" w:hAnsi="Times New Roman CYR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291598"/>
    <w:pPr>
      <w:outlineLvl w:val="0"/>
    </w:pPr>
    <w:rPr>
      <w:rFonts w:eastAsia="Times New Roman"/>
      <w:b/>
      <w:smallCaps/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291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5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598"/>
    <w:rPr>
      <w:rFonts w:ascii="Times New Roman" w:eastAsia="Times New Roman" w:hAnsi="Times New Roman" w:cs="Times New Roman"/>
      <w:b/>
      <w:smallCap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1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915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9159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uk-UA"/>
    </w:rPr>
  </w:style>
  <w:style w:type="character" w:styleId="a3">
    <w:name w:val="Strong"/>
    <w:basedOn w:val="a0"/>
    <w:uiPriority w:val="22"/>
    <w:qFormat/>
    <w:rsid w:val="00291598"/>
    <w:rPr>
      <w:b/>
      <w:bCs/>
    </w:rPr>
  </w:style>
  <w:style w:type="character" w:styleId="a4">
    <w:name w:val="Emphasis"/>
    <w:basedOn w:val="a0"/>
    <w:uiPriority w:val="20"/>
    <w:qFormat/>
    <w:rsid w:val="00291598"/>
    <w:rPr>
      <w:i/>
      <w:iCs/>
    </w:rPr>
  </w:style>
  <w:style w:type="paragraph" w:styleId="a5">
    <w:name w:val="List Paragraph"/>
    <w:basedOn w:val="a"/>
    <w:link w:val="a6"/>
    <w:uiPriority w:val="34"/>
    <w:qFormat/>
    <w:rsid w:val="0029159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Абзац списка Знак"/>
    <w:link w:val="a5"/>
    <w:uiPriority w:val="34"/>
    <w:rsid w:val="001D0752"/>
  </w:style>
  <w:style w:type="paragraph" w:customStyle="1" w:styleId="11">
    <w:name w:val="Стиль1"/>
    <w:basedOn w:val="a5"/>
    <w:link w:val="12"/>
    <w:qFormat/>
    <w:rsid w:val="001D0752"/>
    <w:pPr>
      <w:spacing w:line="360" w:lineRule="auto"/>
      <w:ind w:left="0" w:firstLine="426"/>
      <w:jc w:val="both"/>
    </w:pPr>
    <w:rPr>
      <w:rFonts w:ascii="Times New Roman" w:eastAsia="Calibri" w:hAnsi="Times New Roman"/>
      <w:sz w:val="28"/>
      <w:szCs w:val="28"/>
      <w:lang w:val="ru-RU" w:eastAsia="ru-RU"/>
    </w:rPr>
  </w:style>
  <w:style w:type="character" w:customStyle="1" w:styleId="12">
    <w:name w:val="Стиль1 Знак"/>
    <w:link w:val="11"/>
    <w:rsid w:val="001D0752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7">
    <w:name w:val="No Spacing"/>
    <w:link w:val="a8"/>
    <w:uiPriority w:val="1"/>
    <w:qFormat/>
    <w:rsid w:val="001D0752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uk-UA"/>
    </w:rPr>
  </w:style>
  <w:style w:type="character" w:customStyle="1" w:styleId="a8">
    <w:name w:val="Без интервала Знак"/>
    <w:link w:val="a7"/>
    <w:uiPriority w:val="1"/>
    <w:locked/>
    <w:rsid w:val="001D0752"/>
    <w:rPr>
      <w:rFonts w:ascii="Times New Roman" w:eastAsia="Times New Roman" w:hAnsi="Times New Roman" w:cs="Times New Roman"/>
      <w:color w:val="000000"/>
      <w:sz w:val="28"/>
      <w:szCs w:val="28"/>
      <w:lang w:val="ru-RU" w:eastAsia="uk-UA"/>
    </w:rPr>
  </w:style>
  <w:style w:type="character" w:customStyle="1" w:styleId="A20">
    <w:name w:val="A2"/>
    <w:uiPriority w:val="99"/>
    <w:rsid w:val="001D0752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Діанка)</dc:creator>
  <cp:lastModifiedBy>Ваня</cp:lastModifiedBy>
  <cp:revision>2</cp:revision>
  <dcterms:created xsi:type="dcterms:W3CDTF">2020-12-14T19:34:00Z</dcterms:created>
  <dcterms:modified xsi:type="dcterms:W3CDTF">2020-12-15T14:06:00Z</dcterms:modified>
</cp:coreProperties>
</file>